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DC02" w14:textId="3FFB6A93" w:rsidR="00753E83" w:rsidRPr="009629A2" w:rsidRDefault="009629A2" w:rsidP="009629A2">
      <w:pPr>
        <w:spacing w:after="0"/>
        <w:jc w:val="center"/>
        <w:rPr>
          <w:b/>
          <w:bCs/>
        </w:rPr>
      </w:pPr>
      <w:r w:rsidRPr="009629A2">
        <w:rPr>
          <w:b/>
          <w:bCs/>
        </w:rPr>
        <w:t>Concern Worldwide</w:t>
      </w:r>
    </w:p>
    <w:p w14:paraId="110FD2E2" w14:textId="2795CD69" w:rsidR="009629A2" w:rsidRDefault="009629A2" w:rsidP="009629A2">
      <w:pPr>
        <w:spacing w:after="0"/>
        <w:jc w:val="center"/>
        <w:rPr>
          <w:b/>
          <w:bCs/>
        </w:rPr>
      </w:pPr>
      <w:r w:rsidRPr="009629A2">
        <w:rPr>
          <w:b/>
          <w:bCs/>
        </w:rPr>
        <w:t>Republic of Ireland Gender Pay Gap Report 2025</w:t>
      </w:r>
    </w:p>
    <w:p w14:paraId="4FA46E02" w14:textId="77777777" w:rsidR="009629A2" w:rsidRDefault="009629A2" w:rsidP="009629A2">
      <w:pPr>
        <w:spacing w:after="0"/>
        <w:jc w:val="center"/>
        <w:rPr>
          <w:b/>
          <w:bCs/>
        </w:rPr>
      </w:pPr>
    </w:p>
    <w:p w14:paraId="1EB8D09B" w14:textId="77777777" w:rsidR="00B72AC6" w:rsidRDefault="00B72AC6" w:rsidP="009629A2">
      <w:pPr>
        <w:spacing w:after="0"/>
        <w:jc w:val="center"/>
        <w:rPr>
          <w:b/>
          <w:bCs/>
        </w:rPr>
      </w:pPr>
    </w:p>
    <w:p w14:paraId="61341FFA" w14:textId="77777777" w:rsidR="009629A2" w:rsidRDefault="009629A2" w:rsidP="009629A2">
      <w:pPr>
        <w:spacing w:after="0"/>
        <w:rPr>
          <w:b/>
          <w:bCs/>
        </w:rPr>
      </w:pPr>
    </w:p>
    <w:p w14:paraId="2AD590A3" w14:textId="77777777" w:rsidR="00B72AC6" w:rsidRDefault="00B72AC6" w:rsidP="009629A2">
      <w:pPr>
        <w:spacing w:after="0"/>
        <w:rPr>
          <w:b/>
          <w:bCs/>
        </w:rPr>
      </w:pPr>
    </w:p>
    <w:p w14:paraId="3B9237BC" w14:textId="77777777" w:rsidR="00B72AC6" w:rsidRDefault="00B72AC6" w:rsidP="009629A2">
      <w:pPr>
        <w:spacing w:after="0"/>
        <w:rPr>
          <w:b/>
          <w:bCs/>
        </w:rPr>
      </w:pPr>
    </w:p>
    <w:p w14:paraId="50CF92B0" w14:textId="77777777" w:rsidR="00B72AC6" w:rsidRDefault="00B72AC6" w:rsidP="009629A2">
      <w:pPr>
        <w:spacing w:after="0"/>
        <w:rPr>
          <w:b/>
          <w:bCs/>
        </w:rPr>
      </w:pPr>
    </w:p>
    <w:p w14:paraId="63FF7656" w14:textId="35D4C4DC" w:rsidR="009629A2" w:rsidRPr="0047379F" w:rsidRDefault="009629A2" w:rsidP="0047379F">
      <w:pPr>
        <w:pStyle w:val="ListParagraph"/>
        <w:numPr>
          <w:ilvl w:val="0"/>
          <w:numId w:val="1"/>
        </w:numPr>
        <w:spacing w:after="0"/>
        <w:rPr>
          <w:b/>
          <w:bCs/>
          <w:color w:val="0070C0"/>
        </w:rPr>
      </w:pPr>
      <w:r w:rsidRPr="0047379F">
        <w:rPr>
          <w:b/>
          <w:bCs/>
          <w:color w:val="0070C0"/>
        </w:rPr>
        <w:t>Introduction</w:t>
      </w:r>
    </w:p>
    <w:p w14:paraId="36D48BDC" w14:textId="0EAC5B84" w:rsidR="00434236" w:rsidRPr="00A7730E" w:rsidRDefault="009629A2" w:rsidP="00434236">
      <w:pPr>
        <w:spacing w:after="0"/>
        <w:rPr>
          <w:rFonts w:cstheme="minorHAnsi"/>
          <w:sz w:val="22"/>
          <w:szCs w:val="22"/>
        </w:rPr>
      </w:pPr>
      <w:r w:rsidRPr="00A7730E">
        <w:rPr>
          <w:rFonts w:cstheme="minorHAnsi"/>
          <w:sz w:val="22"/>
          <w:szCs w:val="22"/>
        </w:rPr>
        <w:t>One of Concern Worldwide’s core values is ‘We believe in equality’</w:t>
      </w:r>
      <w:r w:rsidR="00A81122" w:rsidRPr="00A7730E">
        <w:rPr>
          <w:rFonts w:cstheme="minorHAnsi"/>
          <w:sz w:val="22"/>
          <w:szCs w:val="22"/>
        </w:rPr>
        <w:t xml:space="preserve"> - both within and for the communities with whom we work, and in our workplaces</w:t>
      </w:r>
      <w:r w:rsidR="00D13720" w:rsidRPr="00A7730E">
        <w:rPr>
          <w:rFonts w:cstheme="minorHAnsi"/>
          <w:sz w:val="22"/>
          <w:szCs w:val="22"/>
        </w:rPr>
        <w:t>. In terms of gender, we are very conscious of the systemic inequality which women have experienced historically and experience today</w:t>
      </w:r>
      <w:r w:rsidR="00434236" w:rsidRPr="00A7730E">
        <w:rPr>
          <w:rFonts w:cstheme="minorHAnsi"/>
          <w:sz w:val="22"/>
          <w:szCs w:val="22"/>
        </w:rPr>
        <w:t xml:space="preserve"> </w:t>
      </w:r>
      <w:r w:rsidR="002F2965" w:rsidRPr="00A7730E">
        <w:rPr>
          <w:rFonts w:cstheme="minorHAnsi"/>
          <w:sz w:val="22"/>
          <w:szCs w:val="22"/>
        </w:rPr>
        <w:t xml:space="preserve">and so </w:t>
      </w:r>
      <w:r w:rsidR="007E2ACA" w:rsidRPr="00A7730E">
        <w:rPr>
          <w:rFonts w:cstheme="minorHAnsi"/>
          <w:sz w:val="22"/>
          <w:szCs w:val="22"/>
        </w:rPr>
        <w:t xml:space="preserve">we </w:t>
      </w:r>
      <w:r w:rsidR="00434236" w:rsidRPr="00A7730E">
        <w:rPr>
          <w:rFonts w:cstheme="minorHAnsi"/>
          <w:sz w:val="22"/>
          <w:szCs w:val="22"/>
        </w:rPr>
        <w:t>continue to take action to</w:t>
      </w:r>
      <w:r w:rsidR="007E2ACA" w:rsidRPr="00A7730E">
        <w:rPr>
          <w:rFonts w:cstheme="minorHAnsi"/>
          <w:sz w:val="22"/>
          <w:szCs w:val="22"/>
        </w:rPr>
        <w:t xml:space="preserve"> address</w:t>
      </w:r>
      <w:r w:rsidR="002C1349" w:rsidRPr="00A7730E">
        <w:rPr>
          <w:rFonts w:cstheme="minorHAnsi"/>
          <w:sz w:val="22"/>
          <w:szCs w:val="22"/>
        </w:rPr>
        <w:t xml:space="preserve"> gender</w:t>
      </w:r>
      <w:r w:rsidR="00434236" w:rsidRPr="00A7730E">
        <w:rPr>
          <w:rFonts w:cstheme="minorHAnsi"/>
          <w:sz w:val="22"/>
          <w:szCs w:val="22"/>
        </w:rPr>
        <w:t xml:space="preserve"> inequality through our programmes and throughout our offices.</w:t>
      </w:r>
    </w:p>
    <w:p w14:paraId="25D735B1" w14:textId="77777777" w:rsidR="007E2ACA" w:rsidRPr="00A7730E" w:rsidRDefault="007E2ACA" w:rsidP="00434236">
      <w:pPr>
        <w:spacing w:after="0"/>
        <w:rPr>
          <w:rFonts w:cstheme="minorHAnsi"/>
          <w:sz w:val="22"/>
          <w:szCs w:val="22"/>
        </w:rPr>
      </w:pPr>
    </w:p>
    <w:p w14:paraId="7E77C89F" w14:textId="35645F7E" w:rsidR="00D83E1F" w:rsidRPr="00A7730E" w:rsidRDefault="00B504B3" w:rsidP="009629A2">
      <w:pPr>
        <w:spacing w:after="0"/>
        <w:rPr>
          <w:rFonts w:cstheme="minorHAnsi"/>
          <w:sz w:val="22"/>
          <w:szCs w:val="22"/>
        </w:rPr>
      </w:pPr>
      <w:r w:rsidRPr="00A7730E">
        <w:rPr>
          <w:rFonts w:cstheme="minorHAnsi"/>
          <w:sz w:val="22"/>
          <w:szCs w:val="22"/>
        </w:rPr>
        <w:t>In our workplaces w</w:t>
      </w:r>
      <w:r w:rsidR="000006B5" w:rsidRPr="00A7730E">
        <w:rPr>
          <w:rFonts w:cstheme="minorHAnsi"/>
          <w:sz w:val="22"/>
          <w:szCs w:val="22"/>
        </w:rPr>
        <w:t>e</w:t>
      </w:r>
      <w:r w:rsidR="00D27176" w:rsidRPr="00A7730E">
        <w:rPr>
          <w:rFonts w:cstheme="minorHAnsi"/>
          <w:sz w:val="22"/>
          <w:szCs w:val="22"/>
        </w:rPr>
        <w:t xml:space="preserve"> understand</w:t>
      </w:r>
      <w:r w:rsidR="00504092">
        <w:rPr>
          <w:rFonts w:cstheme="minorHAnsi"/>
          <w:sz w:val="22"/>
          <w:szCs w:val="22"/>
        </w:rPr>
        <w:t xml:space="preserve"> that</w:t>
      </w:r>
      <w:r w:rsidR="00D27176" w:rsidRPr="00A7730E">
        <w:rPr>
          <w:rFonts w:cstheme="minorHAnsi"/>
          <w:sz w:val="22"/>
          <w:szCs w:val="22"/>
        </w:rPr>
        <w:t xml:space="preserve"> </w:t>
      </w:r>
      <w:r w:rsidR="008460D0" w:rsidRPr="00A7730E">
        <w:rPr>
          <w:rFonts w:cstheme="minorHAnsi"/>
          <w:sz w:val="22"/>
          <w:szCs w:val="22"/>
        </w:rPr>
        <w:t xml:space="preserve">position and pay are important metrics in </w:t>
      </w:r>
      <w:r w:rsidR="00E055C2" w:rsidRPr="00A7730E">
        <w:rPr>
          <w:rFonts w:cstheme="minorHAnsi"/>
          <w:sz w:val="22"/>
          <w:szCs w:val="22"/>
        </w:rPr>
        <w:t xml:space="preserve">assessing </w:t>
      </w:r>
      <w:r w:rsidR="0019484F" w:rsidRPr="00A7730E">
        <w:rPr>
          <w:rFonts w:cstheme="minorHAnsi"/>
          <w:sz w:val="22"/>
          <w:szCs w:val="22"/>
        </w:rPr>
        <w:t xml:space="preserve">our progress in promoting gender </w:t>
      </w:r>
      <w:r w:rsidR="00E055C2" w:rsidRPr="00A7730E">
        <w:rPr>
          <w:rFonts w:cstheme="minorHAnsi"/>
          <w:sz w:val="22"/>
          <w:szCs w:val="22"/>
        </w:rPr>
        <w:t>equality</w:t>
      </w:r>
      <w:r w:rsidR="008B5414" w:rsidRPr="00A7730E">
        <w:rPr>
          <w:rFonts w:cstheme="minorHAnsi"/>
          <w:sz w:val="22"/>
          <w:szCs w:val="22"/>
        </w:rPr>
        <w:t xml:space="preserve">. </w:t>
      </w:r>
      <w:r w:rsidR="0074121B" w:rsidRPr="00A7730E">
        <w:rPr>
          <w:rFonts w:cstheme="minorHAnsi"/>
          <w:sz w:val="22"/>
          <w:szCs w:val="22"/>
        </w:rPr>
        <w:t>This Gende</w:t>
      </w:r>
      <w:r w:rsidR="003072A7" w:rsidRPr="00A7730E">
        <w:rPr>
          <w:rFonts w:cstheme="minorHAnsi"/>
          <w:sz w:val="22"/>
          <w:szCs w:val="22"/>
        </w:rPr>
        <w:t>r</w:t>
      </w:r>
      <w:r w:rsidR="0074121B" w:rsidRPr="00A7730E">
        <w:rPr>
          <w:rFonts w:cstheme="minorHAnsi"/>
          <w:sz w:val="22"/>
          <w:szCs w:val="22"/>
        </w:rPr>
        <w:t xml:space="preserve"> Pay Gap Report</w:t>
      </w:r>
      <w:r w:rsidR="0025647E" w:rsidRPr="00A7730E">
        <w:rPr>
          <w:rFonts w:cstheme="minorHAnsi"/>
          <w:sz w:val="22"/>
          <w:szCs w:val="22"/>
        </w:rPr>
        <w:t xml:space="preserve">, looking at female and male staff </w:t>
      </w:r>
      <w:r w:rsidR="00100CE4" w:rsidRPr="00A7730E">
        <w:rPr>
          <w:rFonts w:cstheme="minorHAnsi"/>
          <w:sz w:val="22"/>
          <w:szCs w:val="22"/>
        </w:rPr>
        <w:t xml:space="preserve">employed through the </w:t>
      </w:r>
      <w:r w:rsidR="00DB2948" w:rsidRPr="00A7730E">
        <w:rPr>
          <w:rFonts w:cstheme="minorHAnsi"/>
          <w:sz w:val="22"/>
          <w:szCs w:val="22"/>
        </w:rPr>
        <w:t xml:space="preserve">Concern </w:t>
      </w:r>
      <w:r w:rsidR="00100CE4" w:rsidRPr="00A7730E">
        <w:rPr>
          <w:rFonts w:cstheme="minorHAnsi"/>
          <w:sz w:val="22"/>
          <w:szCs w:val="22"/>
        </w:rPr>
        <w:t>Republic of Ireland office,</w:t>
      </w:r>
      <w:r w:rsidR="0074121B" w:rsidRPr="00A7730E">
        <w:rPr>
          <w:rFonts w:cstheme="minorHAnsi"/>
          <w:sz w:val="22"/>
          <w:szCs w:val="22"/>
        </w:rPr>
        <w:t xml:space="preserve"> provides the opportunity for us </w:t>
      </w:r>
      <w:r w:rsidR="00EA7DE9">
        <w:rPr>
          <w:rFonts w:cstheme="minorHAnsi"/>
          <w:sz w:val="22"/>
          <w:szCs w:val="22"/>
        </w:rPr>
        <w:t xml:space="preserve">to </w:t>
      </w:r>
      <w:r w:rsidR="003072A7" w:rsidRPr="00A7730E">
        <w:rPr>
          <w:rFonts w:cstheme="minorHAnsi"/>
          <w:sz w:val="22"/>
          <w:szCs w:val="22"/>
        </w:rPr>
        <w:t>reflect on how we are doing</w:t>
      </w:r>
      <w:r w:rsidR="001774B3">
        <w:rPr>
          <w:rFonts w:cstheme="minorHAnsi"/>
          <w:sz w:val="22"/>
          <w:szCs w:val="22"/>
        </w:rPr>
        <w:t xml:space="preserve"> </w:t>
      </w:r>
      <w:r w:rsidR="003072A7" w:rsidRPr="00A7730E">
        <w:rPr>
          <w:rFonts w:cstheme="minorHAnsi"/>
          <w:sz w:val="22"/>
          <w:szCs w:val="22"/>
        </w:rPr>
        <w:t>in this regard</w:t>
      </w:r>
      <w:r w:rsidR="00C74E7C">
        <w:rPr>
          <w:rFonts w:cstheme="minorHAnsi"/>
          <w:sz w:val="22"/>
          <w:szCs w:val="22"/>
        </w:rPr>
        <w:t xml:space="preserve"> in one of our countries of operation</w:t>
      </w:r>
      <w:r w:rsidR="003072A7" w:rsidRPr="00A7730E">
        <w:rPr>
          <w:rFonts w:cstheme="minorHAnsi"/>
          <w:sz w:val="22"/>
          <w:szCs w:val="22"/>
        </w:rPr>
        <w:t>.</w:t>
      </w:r>
    </w:p>
    <w:p w14:paraId="73631EE5" w14:textId="77777777" w:rsidR="00155E63" w:rsidRDefault="00155E63" w:rsidP="009629A2">
      <w:pPr>
        <w:spacing w:after="0"/>
        <w:rPr>
          <w:rFonts w:cstheme="minorHAnsi"/>
        </w:rPr>
      </w:pPr>
    </w:p>
    <w:p w14:paraId="11490F91" w14:textId="5C93A826" w:rsidR="00100CE4" w:rsidRPr="00A7730E" w:rsidRDefault="00C74E7C" w:rsidP="009629A2">
      <w:pPr>
        <w:spacing w:after="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Employees</w:t>
      </w:r>
      <w:r w:rsidR="00100CE4" w:rsidRPr="00A7730E">
        <w:rPr>
          <w:rFonts w:cstheme="minorHAnsi"/>
          <w:b/>
          <w:bCs/>
          <w:sz w:val="22"/>
          <w:szCs w:val="22"/>
        </w:rPr>
        <w:t xml:space="preserve"> Covered </w:t>
      </w:r>
      <w:r w:rsidR="001774B3" w:rsidRPr="00A7730E">
        <w:rPr>
          <w:rFonts w:cstheme="minorHAnsi"/>
          <w:b/>
          <w:bCs/>
          <w:sz w:val="22"/>
          <w:szCs w:val="22"/>
        </w:rPr>
        <w:t>by</w:t>
      </w:r>
      <w:r w:rsidR="00100CE4" w:rsidRPr="00A7730E">
        <w:rPr>
          <w:rFonts w:cstheme="minorHAnsi"/>
          <w:b/>
          <w:bCs/>
          <w:sz w:val="22"/>
          <w:szCs w:val="22"/>
        </w:rPr>
        <w:t xml:space="preserve"> This Report</w:t>
      </w:r>
    </w:p>
    <w:p w14:paraId="3DB5BBE9" w14:textId="27A6ADDF" w:rsidR="009402F9" w:rsidRPr="00A7730E" w:rsidRDefault="009402F9" w:rsidP="009402F9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A7730E">
        <w:rPr>
          <w:sz w:val="22"/>
          <w:szCs w:val="22"/>
        </w:rPr>
        <w:t xml:space="preserve">The analysis within this report is based on those Concern employees </w:t>
      </w:r>
      <w:r w:rsidR="00306CC5" w:rsidRPr="00A7730E">
        <w:rPr>
          <w:sz w:val="22"/>
          <w:szCs w:val="22"/>
        </w:rPr>
        <w:t>who</w:t>
      </w:r>
      <w:r w:rsidRPr="00A7730E">
        <w:rPr>
          <w:sz w:val="22"/>
          <w:szCs w:val="22"/>
        </w:rPr>
        <w:t xml:space="preserve"> </w:t>
      </w:r>
      <w:r w:rsidR="001D1B44">
        <w:rPr>
          <w:sz w:val="22"/>
          <w:szCs w:val="22"/>
        </w:rPr>
        <w:t>we</w:t>
      </w:r>
      <w:r w:rsidRPr="00A7730E">
        <w:rPr>
          <w:sz w:val="22"/>
          <w:szCs w:val="22"/>
        </w:rPr>
        <w:t xml:space="preserve">re employed on Irish contracts only. This includes our ‘International Staff’, and </w:t>
      </w:r>
      <w:proofErr w:type="gramStart"/>
      <w:r w:rsidRPr="00A7730E">
        <w:rPr>
          <w:sz w:val="22"/>
          <w:szCs w:val="22"/>
        </w:rPr>
        <w:t>a number of</w:t>
      </w:r>
      <w:proofErr w:type="gramEnd"/>
      <w:r w:rsidRPr="00A7730E">
        <w:rPr>
          <w:sz w:val="22"/>
          <w:szCs w:val="22"/>
        </w:rPr>
        <w:t xml:space="preserve"> specific employees based in countries outside of Ireland</w:t>
      </w:r>
      <w:r w:rsidR="00B20108">
        <w:rPr>
          <w:sz w:val="22"/>
          <w:szCs w:val="22"/>
        </w:rPr>
        <w:t xml:space="preserve"> </w:t>
      </w:r>
      <w:r w:rsidR="006A4244">
        <w:rPr>
          <w:sz w:val="22"/>
          <w:szCs w:val="22"/>
        </w:rPr>
        <w:t>employed</w:t>
      </w:r>
      <w:r w:rsidRPr="00A7730E">
        <w:rPr>
          <w:sz w:val="22"/>
          <w:szCs w:val="22"/>
        </w:rPr>
        <w:t xml:space="preserve"> under the auspices of the head office in Dublin.  It does not cover </w:t>
      </w:r>
      <w:r w:rsidR="00FD343B" w:rsidRPr="00A7730E">
        <w:rPr>
          <w:sz w:val="22"/>
          <w:szCs w:val="22"/>
        </w:rPr>
        <w:t xml:space="preserve">employees directly employed in </w:t>
      </w:r>
      <w:r w:rsidR="00C40AA3" w:rsidRPr="00A7730E">
        <w:rPr>
          <w:sz w:val="22"/>
          <w:szCs w:val="22"/>
        </w:rPr>
        <w:t xml:space="preserve">any of </w:t>
      </w:r>
      <w:r w:rsidR="00FD343B" w:rsidRPr="00A7730E">
        <w:rPr>
          <w:sz w:val="22"/>
          <w:szCs w:val="22"/>
        </w:rPr>
        <w:t>our 22 programme</w:t>
      </w:r>
      <w:r w:rsidR="0047235A">
        <w:rPr>
          <w:sz w:val="22"/>
          <w:szCs w:val="22"/>
        </w:rPr>
        <w:t xml:space="preserve"> </w:t>
      </w:r>
      <w:r w:rsidR="0047235A" w:rsidRPr="00A7730E">
        <w:rPr>
          <w:sz w:val="22"/>
          <w:szCs w:val="22"/>
        </w:rPr>
        <w:t>country</w:t>
      </w:r>
      <w:r w:rsidR="00FD343B" w:rsidRPr="00A7730E">
        <w:rPr>
          <w:sz w:val="22"/>
          <w:szCs w:val="22"/>
        </w:rPr>
        <w:t xml:space="preserve"> offices</w:t>
      </w:r>
      <w:r w:rsidR="00C40AA3" w:rsidRPr="00A7730E">
        <w:rPr>
          <w:sz w:val="22"/>
          <w:szCs w:val="22"/>
        </w:rPr>
        <w:t xml:space="preserve"> or</w:t>
      </w:r>
      <w:r w:rsidR="00FD343B" w:rsidRPr="00A7730E">
        <w:rPr>
          <w:sz w:val="22"/>
          <w:szCs w:val="22"/>
        </w:rPr>
        <w:t xml:space="preserve"> </w:t>
      </w:r>
      <w:r w:rsidRPr="00A7730E">
        <w:rPr>
          <w:sz w:val="22"/>
          <w:szCs w:val="22"/>
        </w:rPr>
        <w:t xml:space="preserve">employed by Concern UK or Concern South Korea. </w:t>
      </w:r>
    </w:p>
    <w:p w14:paraId="437D18E5" w14:textId="546CFFF6" w:rsidR="00100940" w:rsidRPr="00A7730E" w:rsidRDefault="00100940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5908EE37" w14:textId="6A8A6242" w:rsidR="003057E1" w:rsidRPr="00A7730E" w:rsidRDefault="003057E1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A7730E">
        <w:rPr>
          <w:sz w:val="22"/>
          <w:szCs w:val="22"/>
        </w:rPr>
        <w:t xml:space="preserve">The data </w:t>
      </w:r>
      <w:r w:rsidR="00CF4D7B" w:rsidRPr="00A7730E">
        <w:rPr>
          <w:sz w:val="22"/>
          <w:szCs w:val="22"/>
        </w:rPr>
        <w:t xml:space="preserve">used </w:t>
      </w:r>
      <w:r w:rsidR="0080344A" w:rsidRPr="00A7730E">
        <w:rPr>
          <w:sz w:val="22"/>
          <w:szCs w:val="22"/>
        </w:rPr>
        <w:t xml:space="preserve">for </w:t>
      </w:r>
      <w:r w:rsidR="00295282">
        <w:rPr>
          <w:sz w:val="22"/>
          <w:szCs w:val="22"/>
        </w:rPr>
        <w:t xml:space="preserve">profile and </w:t>
      </w:r>
      <w:r w:rsidR="0080344A" w:rsidRPr="00A7730E">
        <w:rPr>
          <w:sz w:val="22"/>
          <w:szCs w:val="22"/>
        </w:rPr>
        <w:t xml:space="preserve">analysis </w:t>
      </w:r>
      <w:r w:rsidR="00CF4D7B" w:rsidRPr="00A7730E">
        <w:rPr>
          <w:sz w:val="22"/>
          <w:szCs w:val="22"/>
        </w:rPr>
        <w:t xml:space="preserve">in this report is </w:t>
      </w:r>
      <w:r w:rsidR="00807B7C" w:rsidRPr="00A7730E">
        <w:rPr>
          <w:sz w:val="22"/>
          <w:szCs w:val="22"/>
        </w:rPr>
        <w:t>from</w:t>
      </w:r>
      <w:r w:rsidRPr="00A7730E">
        <w:rPr>
          <w:sz w:val="22"/>
          <w:szCs w:val="22"/>
        </w:rPr>
        <w:t xml:space="preserve"> the period </w:t>
      </w:r>
      <w:r w:rsidR="00807B7C" w:rsidRPr="00A7730E">
        <w:rPr>
          <w:sz w:val="22"/>
          <w:szCs w:val="22"/>
        </w:rPr>
        <w:t>29</w:t>
      </w:r>
      <w:r w:rsidR="00807B7C" w:rsidRPr="00A7730E">
        <w:rPr>
          <w:sz w:val="22"/>
          <w:szCs w:val="22"/>
          <w:vertAlign w:val="superscript"/>
        </w:rPr>
        <w:t>th</w:t>
      </w:r>
      <w:r w:rsidR="00807B7C" w:rsidRPr="00A7730E">
        <w:rPr>
          <w:sz w:val="22"/>
          <w:szCs w:val="22"/>
        </w:rPr>
        <w:t xml:space="preserve"> June 2024</w:t>
      </w:r>
      <w:r w:rsidRPr="00A7730E">
        <w:rPr>
          <w:sz w:val="22"/>
          <w:szCs w:val="22"/>
        </w:rPr>
        <w:t xml:space="preserve"> </w:t>
      </w:r>
      <w:r w:rsidR="001854FA" w:rsidRPr="00A7730E">
        <w:rPr>
          <w:sz w:val="22"/>
          <w:szCs w:val="22"/>
        </w:rPr>
        <w:t>to 28th</w:t>
      </w:r>
      <w:r w:rsidRPr="00A7730E">
        <w:rPr>
          <w:sz w:val="22"/>
          <w:szCs w:val="22"/>
        </w:rPr>
        <w:t xml:space="preserve"> June 202</w:t>
      </w:r>
      <w:r w:rsidR="001854FA" w:rsidRPr="00A7730E">
        <w:rPr>
          <w:sz w:val="22"/>
          <w:szCs w:val="22"/>
        </w:rPr>
        <w:t>5</w:t>
      </w:r>
      <w:r w:rsidRPr="00A7730E">
        <w:rPr>
          <w:sz w:val="22"/>
          <w:szCs w:val="22"/>
        </w:rPr>
        <w:t xml:space="preserve"> inclusive. </w:t>
      </w:r>
      <w:r w:rsidR="001C79E4" w:rsidRPr="00A7730E">
        <w:rPr>
          <w:sz w:val="22"/>
          <w:szCs w:val="22"/>
        </w:rPr>
        <w:t>T</w:t>
      </w:r>
      <w:r w:rsidR="00111B26" w:rsidRPr="00A7730E">
        <w:rPr>
          <w:sz w:val="22"/>
          <w:szCs w:val="22"/>
        </w:rPr>
        <w:t>he data</w:t>
      </w:r>
      <w:r w:rsidR="001C79E4" w:rsidRPr="00A7730E">
        <w:rPr>
          <w:sz w:val="22"/>
          <w:szCs w:val="22"/>
        </w:rPr>
        <w:t xml:space="preserve"> </w:t>
      </w:r>
      <w:r w:rsidRPr="00A7730E">
        <w:rPr>
          <w:sz w:val="22"/>
          <w:szCs w:val="22"/>
        </w:rPr>
        <w:t xml:space="preserve">includes people who may have </w:t>
      </w:r>
      <w:r w:rsidR="00334324" w:rsidRPr="00A7730E">
        <w:rPr>
          <w:sz w:val="22"/>
          <w:szCs w:val="22"/>
        </w:rPr>
        <w:t>left the organisation</w:t>
      </w:r>
      <w:r w:rsidR="006C07C0">
        <w:rPr>
          <w:sz w:val="22"/>
          <w:szCs w:val="22"/>
        </w:rPr>
        <w:t xml:space="preserve"> </w:t>
      </w:r>
      <w:r w:rsidR="006C07C0" w:rsidRPr="00A7730E">
        <w:rPr>
          <w:sz w:val="22"/>
          <w:szCs w:val="22"/>
        </w:rPr>
        <w:t>within the reporting period</w:t>
      </w:r>
      <w:r w:rsidR="00334324" w:rsidRPr="00A7730E">
        <w:rPr>
          <w:sz w:val="22"/>
          <w:szCs w:val="22"/>
        </w:rPr>
        <w:t xml:space="preserve"> due to resignation, end of contract, or retirement</w:t>
      </w:r>
      <w:r w:rsidRPr="00A7730E">
        <w:rPr>
          <w:sz w:val="22"/>
          <w:szCs w:val="22"/>
        </w:rPr>
        <w:t>.</w:t>
      </w:r>
    </w:p>
    <w:p w14:paraId="148A2589" w14:textId="77777777" w:rsidR="00005FDC" w:rsidRPr="00A7730E" w:rsidRDefault="00005FDC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12CEBAA2" w14:textId="2CE04457" w:rsidR="00005FDC" w:rsidRPr="00A7730E" w:rsidRDefault="00005FDC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A7730E">
        <w:rPr>
          <w:sz w:val="22"/>
          <w:szCs w:val="22"/>
        </w:rPr>
        <w:t>For th</w:t>
      </w:r>
      <w:r w:rsidR="00D5799F">
        <w:rPr>
          <w:sz w:val="22"/>
          <w:szCs w:val="22"/>
        </w:rPr>
        <w:t>is</w:t>
      </w:r>
      <w:r w:rsidRPr="00A7730E">
        <w:rPr>
          <w:sz w:val="22"/>
          <w:szCs w:val="22"/>
        </w:rPr>
        <w:t xml:space="preserve"> reporting period, the total number of employees included in th</w:t>
      </w:r>
      <w:r w:rsidR="006258DC">
        <w:rPr>
          <w:sz w:val="22"/>
          <w:szCs w:val="22"/>
        </w:rPr>
        <w:t>e</w:t>
      </w:r>
      <w:r w:rsidRPr="00A7730E">
        <w:rPr>
          <w:sz w:val="22"/>
          <w:szCs w:val="22"/>
        </w:rPr>
        <w:t xml:space="preserve"> report is </w:t>
      </w:r>
      <w:r w:rsidRPr="00A7730E">
        <w:rPr>
          <w:b/>
          <w:bCs/>
          <w:sz w:val="22"/>
          <w:szCs w:val="22"/>
        </w:rPr>
        <w:t xml:space="preserve">512 </w:t>
      </w:r>
      <w:r w:rsidRPr="00A7730E">
        <w:rPr>
          <w:sz w:val="22"/>
          <w:szCs w:val="22"/>
        </w:rPr>
        <w:t>people.</w:t>
      </w:r>
    </w:p>
    <w:p w14:paraId="1FDAA5BB" w14:textId="77777777" w:rsidR="00005FDC" w:rsidRPr="00A7730E" w:rsidRDefault="00005FDC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62282E33" w14:textId="31C48D16" w:rsidR="004D521D" w:rsidRPr="00A7730E" w:rsidRDefault="004D521D" w:rsidP="00005FDC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</w:rPr>
      </w:pPr>
      <w:r w:rsidRPr="00A7730E">
        <w:rPr>
          <w:b/>
          <w:bCs/>
          <w:sz w:val="22"/>
          <w:szCs w:val="22"/>
        </w:rPr>
        <w:t>Pay</w:t>
      </w:r>
    </w:p>
    <w:p w14:paraId="29996565" w14:textId="77777777" w:rsidR="007146C2" w:rsidRDefault="00005FDC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A7730E">
        <w:rPr>
          <w:sz w:val="22"/>
          <w:szCs w:val="22"/>
        </w:rPr>
        <w:t xml:space="preserve">All </w:t>
      </w:r>
      <w:r w:rsidR="005C56AF" w:rsidRPr="00A7730E">
        <w:rPr>
          <w:sz w:val="22"/>
          <w:szCs w:val="22"/>
        </w:rPr>
        <w:t xml:space="preserve">Concern’s </w:t>
      </w:r>
      <w:r w:rsidRPr="00A7730E">
        <w:rPr>
          <w:sz w:val="22"/>
          <w:szCs w:val="22"/>
        </w:rPr>
        <w:t xml:space="preserve">employees are aligned to </w:t>
      </w:r>
      <w:r w:rsidR="000039AA" w:rsidRPr="00A7730E">
        <w:rPr>
          <w:sz w:val="22"/>
          <w:szCs w:val="22"/>
        </w:rPr>
        <w:t xml:space="preserve">transparent </w:t>
      </w:r>
      <w:r w:rsidRPr="00A7730E">
        <w:rPr>
          <w:sz w:val="22"/>
          <w:szCs w:val="22"/>
        </w:rPr>
        <w:t xml:space="preserve">pay grades which provide for equal pay for equal work irrespective of gender. </w:t>
      </w:r>
    </w:p>
    <w:p w14:paraId="5FC64B4D" w14:textId="77777777" w:rsidR="007146C2" w:rsidRDefault="007146C2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2214B859" w14:textId="02E2BC0A" w:rsidR="00005FDC" w:rsidRPr="00A7730E" w:rsidRDefault="00004F69" w:rsidP="00005FD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A7730E">
        <w:rPr>
          <w:sz w:val="22"/>
          <w:szCs w:val="22"/>
        </w:rPr>
        <w:t xml:space="preserve">The gender </w:t>
      </w:r>
      <w:proofErr w:type="gramStart"/>
      <w:r w:rsidRPr="00A7730E">
        <w:rPr>
          <w:sz w:val="22"/>
          <w:szCs w:val="22"/>
        </w:rPr>
        <w:t>pay</w:t>
      </w:r>
      <w:proofErr w:type="gramEnd"/>
      <w:r w:rsidRPr="00A7730E">
        <w:rPr>
          <w:sz w:val="22"/>
          <w:szCs w:val="22"/>
        </w:rPr>
        <w:t xml:space="preserve"> analysis and profile </w:t>
      </w:r>
      <w:r w:rsidR="003246CC">
        <w:rPr>
          <w:sz w:val="22"/>
          <w:szCs w:val="22"/>
        </w:rPr>
        <w:t xml:space="preserve">utilised in this report </w:t>
      </w:r>
      <w:r w:rsidRPr="00A7730E">
        <w:rPr>
          <w:sz w:val="22"/>
          <w:szCs w:val="22"/>
        </w:rPr>
        <w:t>is based on annualised ordinary</w:t>
      </w:r>
      <w:r w:rsidRPr="00A7730E">
        <w:rPr>
          <w:rStyle w:val="FootnoteReference"/>
          <w:sz w:val="22"/>
          <w:szCs w:val="22"/>
        </w:rPr>
        <w:footnoteReference w:id="1"/>
      </w:r>
      <w:r w:rsidRPr="00A7730E">
        <w:rPr>
          <w:sz w:val="22"/>
          <w:szCs w:val="22"/>
        </w:rPr>
        <w:t xml:space="preserve"> pay effective 28</w:t>
      </w:r>
      <w:r w:rsidR="00654AFF" w:rsidRPr="00A7730E">
        <w:rPr>
          <w:sz w:val="22"/>
          <w:szCs w:val="22"/>
        </w:rPr>
        <w:t>th</w:t>
      </w:r>
      <w:r w:rsidRPr="00A7730E">
        <w:rPr>
          <w:sz w:val="22"/>
          <w:szCs w:val="22"/>
        </w:rPr>
        <w:t xml:space="preserve"> June 202</w:t>
      </w:r>
      <w:r w:rsidR="00654AFF" w:rsidRPr="00A7730E">
        <w:rPr>
          <w:sz w:val="22"/>
          <w:szCs w:val="22"/>
        </w:rPr>
        <w:t>5</w:t>
      </w:r>
      <w:r w:rsidRPr="00A7730E">
        <w:rPr>
          <w:sz w:val="22"/>
          <w:szCs w:val="22"/>
        </w:rPr>
        <w:t xml:space="preserve"> (</w:t>
      </w:r>
      <w:proofErr w:type="spellStart"/>
      <w:r w:rsidRPr="00A7730E">
        <w:rPr>
          <w:sz w:val="22"/>
          <w:szCs w:val="22"/>
        </w:rPr>
        <w:t>ie</w:t>
      </w:r>
      <w:proofErr w:type="spellEnd"/>
      <w:r w:rsidRPr="00A7730E">
        <w:rPr>
          <w:sz w:val="22"/>
          <w:szCs w:val="22"/>
        </w:rPr>
        <w:t xml:space="preserve"> it reflects pay for the preceding </w:t>
      </w:r>
      <w:proofErr w:type="gramStart"/>
      <w:r w:rsidRPr="00A7730E">
        <w:rPr>
          <w:sz w:val="22"/>
          <w:szCs w:val="22"/>
        </w:rPr>
        <w:t>12 month</w:t>
      </w:r>
      <w:proofErr w:type="gramEnd"/>
      <w:r w:rsidRPr="00A7730E">
        <w:rPr>
          <w:sz w:val="22"/>
          <w:szCs w:val="22"/>
        </w:rPr>
        <w:t xml:space="preserve"> period).</w:t>
      </w:r>
    </w:p>
    <w:p w14:paraId="25F535ED" w14:textId="77777777" w:rsidR="00155E63" w:rsidRDefault="00155E63" w:rsidP="009629A2">
      <w:pPr>
        <w:spacing w:after="0"/>
        <w:rPr>
          <w:rFonts w:cstheme="minorHAnsi"/>
        </w:rPr>
      </w:pPr>
    </w:p>
    <w:p w14:paraId="50739444" w14:textId="4F5253F9" w:rsidR="00BA7EA1" w:rsidRPr="008B749A" w:rsidRDefault="002E08AF" w:rsidP="0041311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All Staff </w:t>
      </w:r>
      <w:r w:rsidR="0041311E" w:rsidRPr="008B749A">
        <w:rPr>
          <w:rFonts w:cstheme="minorHAnsi"/>
          <w:b/>
          <w:bCs/>
          <w:color w:val="0070C0"/>
        </w:rPr>
        <w:t>Gender Profile 2025</w:t>
      </w:r>
    </w:p>
    <w:p w14:paraId="7A16A3F9" w14:textId="233ED464" w:rsidR="0041311E" w:rsidRPr="00A7730E" w:rsidRDefault="009276FD" w:rsidP="0041311E">
      <w:pPr>
        <w:spacing w:after="0"/>
        <w:rPr>
          <w:rFonts w:cstheme="minorHAnsi"/>
          <w:sz w:val="22"/>
          <w:szCs w:val="22"/>
        </w:rPr>
      </w:pPr>
      <w:r w:rsidRPr="00A7730E">
        <w:rPr>
          <w:rFonts w:cstheme="minorHAnsi"/>
          <w:sz w:val="22"/>
          <w:szCs w:val="22"/>
        </w:rPr>
        <w:t xml:space="preserve">Of the 512 </w:t>
      </w:r>
      <w:r w:rsidR="000734B5" w:rsidRPr="00A7730E">
        <w:rPr>
          <w:rFonts w:cstheme="minorHAnsi"/>
          <w:sz w:val="22"/>
          <w:szCs w:val="22"/>
        </w:rPr>
        <w:t xml:space="preserve">staff employed by Concern Republic of Ireland </w:t>
      </w:r>
      <w:r w:rsidR="005C7C63">
        <w:rPr>
          <w:rFonts w:cstheme="minorHAnsi"/>
          <w:sz w:val="22"/>
          <w:szCs w:val="22"/>
        </w:rPr>
        <w:t xml:space="preserve">reported on </w:t>
      </w:r>
      <w:r w:rsidR="000734B5" w:rsidRPr="00A7730E">
        <w:rPr>
          <w:rFonts w:cstheme="minorHAnsi"/>
          <w:sz w:val="22"/>
          <w:szCs w:val="22"/>
        </w:rPr>
        <w:t>in 2025, 45%</w:t>
      </w:r>
      <w:r w:rsidR="00E15867" w:rsidRPr="00A7730E">
        <w:rPr>
          <w:rFonts w:cstheme="minorHAnsi"/>
          <w:sz w:val="22"/>
          <w:szCs w:val="22"/>
        </w:rPr>
        <w:t xml:space="preserve"> (230) were female. </w:t>
      </w:r>
    </w:p>
    <w:p w14:paraId="3946426C" w14:textId="4704B338" w:rsidR="00E15867" w:rsidRDefault="00D01D18" w:rsidP="0041311E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 w:rsidR="00165D42">
        <w:rPr>
          <w:rFonts w:cstheme="minorHAnsi"/>
          <w:noProof/>
        </w:rPr>
        <w:drawing>
          <wp:inline distT="0" distB="0" distL="0" distR="0" wp14:anchorId="1A5C353A" wp14:editId="2E9C919E">
            <wp:extent cx="4495800" cy="2603500"/>
            <wp:effectExtent l="0" t="0" r="0" b="6350"/>
            <wp:docPr id="284038006" name="Picture 1" descr="A pie chart of the Gender Profile 2025. It shows that 45% (230) of the 512 employees were female and 55% (282) were ma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38006" name="Picture 1" descr="A pie chart of the Gender Profile 2025. It shows that 45% (230) of the 512 employees were female and 55% (282) were male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" t="10013" r="1092" b="11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FCBEB" w14:textId="77777777" w:rsidR="00E15867" w:rsidRDefault="00E15867" w:rsidP="0041311E">
      <w:pPr>
        <w:spacing w:after="0"/>
        <w:rPr>
          <w:rFonts w:cstheme="minorHAnsi"/>
        </w:rPr>
      </w:pPr>
    </w:p>
    <w:p w14:paraId="4A56A74F" w14:textId="4761AB86" w:rsidR="00D01D18" w:rsidRPr="00A7730E" w:rsidRDefault="00EB5680" w:rsidP="0041311E">
      <w:pPr>
        <w:spacing w:after="0"/>
        <w:rPr>
          <w:rFonts w:cstheme="minorHAnsi"/>
          <w:sz w:val="22"/>
          <w:szCs w:val="22"/>
        </w:rPr>
      </w:pPr>
      <w:r w:rsidRPr="00A7730E">
        <w:rPr>
          <w:rFonts w:cstheme="minorHAnsi"/>
          <w:sz w:val="22"/>
          <w:szCs w:val="22"/>
        </w:rPr>
        <w:t xml:space="preserve">This </w:t>
      </w:r>
      <w:r w:rsidR="00850D7F" w:rsidRPr="00A7730E">
        <w:rPr>
          <w:rFonts w:cstheme="minorHAnsi"/>
          <w:sz w:val="22"/>
          <w:szCs w:val="22"/>
        </w:rPr>
        <w:t xml:space="preserve">represents a </w:t>
      </w:r>
      <w:r w:rsidR="0082292A" w:rsidRPr="00A7730E">
        <w:rPr>
          <w:rFonts w:cstheme="minorHAnsi"/>
          <w:sz w:val="22"/>
          <w:szCs w:val="22"/>
        </w:rPr>
        <w:t>year-on-year</w:t>
      </w:r>
      <w:r w:rsidR="000A4B37" w:rsidRPr="00A7730E">
        <w:rPr>
          <w:rFonts w:cstheme="minorHAnsi"/>
          <w:sz w:val="22"/>
          <w:szCs w:val="22"/>
        </w:rPr>
        <w:t xml:space="preserve"> </w:t>
      </w:r>
      <w:r w:rsidR="00850D7F" w:rsidRPr="00A7730E">
        <w:rPr>
          <w:rFonts w:cstheme="minorHAnsi"/>
          <w:sz w:val="22"/>
          <w:szCs w:val="22"/>
        </w:rPr>
        <w:t xml:space="preserve">decrease in the </w:t>
      </w:r>
      <w:r w:rsidR="0082292A" w:rsidRPr="00A7730E">
        <w:rPr>
          <w:rFonts w:cstheme="minorHAnsi"/>
          <w:sz w:val="22"/>
          <w:szCs w:val="22"/>
        </w:rPr>
        <w:t xml:space="preserve">percentage </w:t>
      </w:r>
      <w:r w:rsidR="00850D7F" w:rsidRPr="00A7730E">
        <w:rPr>
          <w:rFonts w:cstheme="minorHAnsi"/>
          <w:sz w:val="22"/>
          <w:szCs w:val="22"/>
        </w:rPr>
        <w:t xml:space="preserve">of female staff from 50% in 2023, and then 47% in 2024. </w:t>
      </w:r>
    </w:p>
    <w:p w14:paraId="49AA8483" w14:textId="77777777" w:rsidR="00BA7EA1" w:rsidRDefault="00BA7EA1" w:rsidP="009629A2">
      <w:pPr>
        <w:spacing w:after="0"/>
        <w:rPr>
          <w:rFonts w:cstheme="minorHAnsi"/>
          <w:b/>
          <w:bCs/>
        </w:rPr>
      </w:pPr>
    </w:p>
    <w:p w14:paraId="5F14A172" w14:textId="33461851" w:rsidR="00D83E1F" w:rsidRPr="0027635F" w:rsidRDefault="002E08AF" w:rsidP="0027635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All Staff </w:t>
      </w:r>
      <w:r w:rsidR="00EC7212" w:rsidRPr="0027635F">
        <w:rPr>
          <w:rFonts w:cstheme="minorHAnsi"/>
          <w:b/>
          <w:bCs/>
          <w:color w:val="0070C0"/>
        </w:rPr>
        <w:t xml:space="preserve">Gender Profile </w:t>
      </w:r>
      <w:r w:rsidR="00D219F8" w:rsidRPr="0027635F">
        <w:rPr>
          <w:rFonts w:cstheme="minorHAnsi"/>
          <w:b/>
          <w:bCs/>
          <w:color w:val="0070C0"/>
        </w:rPr>
        <w:t>by</w:t>
      </w:r>
      <w:r w:rsidR="00EC7212" w:rsidRPr="0027635F">
        <w:rPr>
          <w:rFonts w:cstheme="minorHAnsi"/>
          <w:b/>
          <w:bCs/>
          <w:color w:val="0070C0"/>
        </w:rPr>
        <w:t xml:space="preserve"> </w:t>
      </w:r>
      <w:r w:rsidR="00D05891" w:rsidRPr="0027635F">
        <w:rPr>
          <w:rFonts w:cstheme="minorHAnsi"/>
          <w:b/>
          <w:bCs/>
          <w:color w:val="0070C0"/>
        </w:rPr>
        <w:t>Pay Quartile 2025</w:t>
      </w:r>
    </w:p>
    <w:p w14:paraId="649B27D6" w14:textId="2E726C47" w:rsidR="00632BD3" w:rsidRDefault="009D7EBB" w:rsidP="009629A2">
      <w:pPr>
        <w:spacing w:after="0"/>
        <w:rPr>
          <w:i/>
          <w:iCs/>
          <w:sz w:val="22"/>
          <w:szCs w:val="22"/>
        </w:rPr>
      </w:pPr>
      <w:r w:rsidRPr="00D84C41">
        <w:rPr>
          <w:i/>
          <w:iCs/>
          <w:sz w:val="22"/>
          <w:szCs w:val="22"/>
        </w:rPr>
        <w:t>Pay quartiles are calculated by splitting all employees into four even groups according to their level of pay</w:t>
      </w:r>
      <w:r w:rsidR="00D84C41" w:rsidRPr="00D84C41">
        <w:rPr>
          <w:i/>
          <w:iCs/>
          <w:sz w:val="22"/>
          <w:szCs w:val="22"/>
        </w:rPr>
        <w:t xml:space="preserve">, </w:t>
      </w:r>
      <w:r w:rsidR="00D84C41" w:rsidRPr="00D84C41">
        <w:rPr>
          <w:rFonts w:cstheme="minorHAnsi"/>
          <w:i/>
          <w:iCs/>
          <w:sz w:val="22"/>
          <w:szCs w:val="22"/>
        </w:rPr>
        <w:t>with the lowest earning employees in the Lower Quartile</w:t>
      </w:r>
      <w:r w:rsidR="00CD4F3D">
        <w:rPr>
          <w:rFonts w:cstheme="minorHAnsi"/>
          <w:i/>
          <w:iCs/>
          <w:sz w:val="22"/>
          <w:szCs w:val="22"/>
        </w:rPr>
        <w:t xml:space="preserve"> and the </w:t>
      </w:r>
      <w:r w:rsidR="00CD4F3D" w:rsidRPr="00D84C41">
        <w:rPr>
          <w:rFonts w:cstheme="minorHAnsi"/>
          <w:i/>
          <w:iCs/>
          <w:sz w:val="22"/>
          <w:szCs w:val="22"/>
        </w:rPr>
        <w:t>highest earning employees in the Upper Quartile</w:t>
      </w:r>
      <w:r w:rsidRPr="00D84C41">
        <w:rPr>
          <w:i/>
          <w:iCs/>
          <w:sz w:val="22"/>
          <w:szCs w:val="22"/>
        </w:rPr>
        <w:t xml:space="preserve">. Looking at the proportion of </w:t>
      </w:r>
      <w:r w:rsidR="00911903" w:rsidRPr="00D84C41">
        <w:rPr>
          <w:i/>
          <w:iCs/>
          <w:sz w:val="22"/>
          <w:szCs w:val="22"/>
        </w:rPr>
        <w:t>wo</w:t>
      </w:r>
      <w:r w:rsidRPr="00D84C41">
        <w:rPr>
          <w:i/>
          <w:iCs/>
          <w:sz w:val="22"/>
          <w:szCs w:val="22"/>
        </w:rPr>
        <w:t xml:space="preserve">men and </w:t>
      </w:r>
      <w:r w:rsidR="00911903" w:rsidRPr="00D84C41">
        <w:rPr>
          <w:i/>
          <w:iCs/>
          <w:sz w:val="22"/>
          <w:szCs w:val="22"/>
        </w:rPr>
        <w:t>m</w:t>
      </w:r>
      <w:r w:rsidRPr="00D84C41">
        <w:rPr>
          <w:i/>
          <w:iCs/>
          <w:sz w:val="22"/>
          <w:szCs w:val="22"/>
        </w:rPr>
        <w:t>en in each quartile gives an indication of the gender representation at different levels of Concern</w:t>
      </w:r>
      <w:r w:rsidR="00D509D8">
        <w:rPr>
          <w:i/>
          <w:iCs/>
          <w:sz w:val="22"/>
          <w:szCs w:val="22"/>
        </w:rPr>
        <w:t xml:space="preserve"> Republic of Ireland</w:t>
      </w:r>
      <w:r w:rsidRPr="00D84C41">
        <w:rPr>
          <w:i/>
          <w:iCs/>
          <w:sz w:val="22"/>
          <w:szCs w:val="22"/>
        </w:rPr>
        <w:t>.</w:t>
      </w:r>
    </w:p>
    <w:p w14:paraId="78046D97" w14:textId="77777777" w:rsidR="00D84C41" w:rsidRPr="00D84C41" w:rsidRDefault="00D84C41" w:rsidP="009629A2">
      <w:pPr>
        <w:spacing w:after="0"/>
        <w:rPr>
          <w:rFonts w:cstheme="minorHAnsi"/>
          <w:i/>
          <w:iCs/>
          <w:sz w:val="22"/>
          <w:szCs w:val="22"/>
        </w:rPr>
      </w:pPr>
    </w:p>
    <w:p w14:paraId="192B6584" w14:textId="229E230E" w:rsidR="00DC6C5D" w:rsidRDefault="00CC426B" w:rsidP="009629A2">
      <w:pPr>
        <w:spacing w:after="0"/>
        <w:rPr>
          <w:rFonts w:cstheme="minorHAnsi"/>
          <w:i/>
          <w:iCs/>
        </w:rPr>
      </w:pPr>
      <w:r w:rsidRPr="001960C1">
        <w:rPr>
          <w:rFonts w:cstheme="minorHAnsi"/>
          <w:i/>
          <w:iCs/>
        </w:rPr>
        <w:t xml:space="preserve"> </w:t>
      </w:r>
      <w:r w:rsidR="00953297">
        <w:rPr>
          <w:rFonts w:cstheme="minorHAnsi"/>
          <w:i/>
          <w:iCs/>
          <w:noProof/>
        </w:rPr>
        <w:drawing>
          <wp:inline distT="0" distB="0" distL="0" distR="0" wp14:anchorId="55A8D454" wp14:editId="37250784">
            <wp:extent cx="4527550" cy="3168650"/>
            <wp:effectExtent l="0" t="0" r="6350" b="0"/>
            <wp:docPr id="1341980158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80158" name="Picture 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" t="8707" b="9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41138B" w14:textId="77777777" w:rsidR="00A529CF" w:rsidRDefault="00A529CF" w:rsidP="009629A2">
      <w:pPr>
        <w:spacing w:after="0"/>
        <w:rPr>
          <w:rFonts w:cstheme="minorHAnsi"/>
          <w:i/>
          <w:iCs/>
        </w:rPr>
      </w:pPr>
    </w:p>
    <w:p w14:paraId="15917656" w14:textId="77777777" w:rsidR="000224D4" w:rsidRDefault="000224D4" w:rsidP="009629A2">
      <w:pPr>
        <w:spacing w:after="0"/>
        <w:rPr>
          <w:rFonts w:cstheme="minorHAnsi"/>
          <w:i/>
          <w:iCs/>
        </w:rPr>
      </w:pPr>
    </w:p>
    <w:p w14:paraId="1E54D7EE" w14:textId="77777777" w:rsidR="00A529CF" w:rsidRPr="001960C1" w:rsidRDefault="00A529CF" w:rsidP="009629A2">
      <w:pPr>
        <w:spacing w:after="0"/>
        <w:rPr>
          <w:rFonts w:cstheme="minorHAnsi"/>
          <w:i/>
          <w:iCs/>
        </w:rPr>
      </w:pPr>
    </w:p>
    <w:tbl>
      <w:tblPr>
        <w:tblW w:w="7400" w:type="dxa"/>
        <w:tblLook w:val="04A0" w:firstRow="1" w:lastRow="0" w:firstColumn="1" w:lastColumn="0" w:noHBand="0" w:noVBand="1"/>
      </w:tblPr>
      <w:tblGrid>
        <w:gridCol w:w="2020"/>
        <w:gridCol w:w="1540"/>
        <w:gridCol w:w="960"/>
        <w:gridCol w:w="960"/>
        <w:gridCol w:w="960"/>
        <w:gridCol w:w="960"/>
      </w:tblGrid>
      <w:tr w:rsidR="007E332E" w:rsidRPr="00C57773" w14:paraId="5595E3C2" w14:textId="75C8D9D0" w:rsidTr="00D44A91">
        <w:trPr>
          <w:trHeight w:val="327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78ABDDDF" w14:textId="77777777" w:rsidR="007E332E" w:rsidRPr="00C57773" w:rsidRDefault="007E332E" w:rsidP="00460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C577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lastRenderedPageBreak/>
              <w:t>Quartile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746B9A70" w14:textId="77777777" w:rsidR="007E332E" w:rsidRPr="00C57773" w:rsidRDefault="007E332E" w:rsidP="00460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C577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Number of Employees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1BDF3C9E" w14:textId="62CA0BE0" w:rsidR="007E332E" w:rsidRPr="00C57773" w:rsidRDefault="007E332E" w:rsidP="00460C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Female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5E253CAF" w14:textId="71D43DF9" w:rsidR="007E332E" w:rsidRPr="00C57773" w:rsidRDefault="007E332E" w:rsidP="00460C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C5777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ale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3558FE25" w14:textId="00BCD652" w:rsidR="007E332E" w:rsidRPr="00D20E0B" w:rsidRDefault="007E332E" w:rsidP="007E3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20E0B">
              <w:rPr>
                <w:rFonts w:ascii="Arial" w:eastAsia="Times New Roman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:lang w:eastAsia="en-IE"/>
                <w14:ligatures w14:val="none"/>
              </w:rPr>
              <w:t>% Difference from 2024</w:t>
            </w:r>
          </w:p>
        </w:tc>
      </w:tr>
      <w:tr w:rsidR="007E332E" w:rsidRPr="00C57773" w14:paraId="28557851" w14:textId="77777777" w:rsidTr="00D44A91">
        <w:trPr>
          <w:trHeight w:val="327"/>
        </w:trPr>
        <w:tc>
          <w:tcPr>
            <w:tcW w:w="20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375623"/>
            <w:vAlign w:val="center"/>
          </w:tcPr>
          <w:p w14:paraId="7FC7AA3D" w14:textId="77777777" w:rsidR="007E332E" w:rsidRPr="00C57773" w:rsidRDefault="007E332E" w:rsidP="00460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154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</w:tcPr>
          <w:p w14:paraId="29DAD3C8" w14:textId="77777777" w:rsidR="007E332E" w:rsidRPr="00C57773" w:rsidRDefault="007E332E" w:rsidP="00460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</w:tcPr>
          <w:p w14:paraId="4AFB6F9B" w14:textId="77777777" w:rsidR="007E332E" w:rsidRDefault="007E332E" w:rsidP="00460C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</w:tcPr>
          <w:p w14:paraId="2AF55FE2" w14:textId="77777777" w:rsidR="007E332E" w:rsidRPr="00C57773" w:rsidRDefault="007E332E" w:rsidP="00460C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0E2DA987" w14:textId="159FFD5E" w:rsidR="007E332E" w:rsidRPr="00D20E0B" w:rsidRDefault="007E332E" w:rsidP="007E3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20E0B">
              <w:rPr>
                <w:rFonts w:ascii="Arial" w:eastAsia="Times New Roman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:lang w:eastAsia="en-IE"/>
                <w14:ligatures w14:val="none"/>
              </w:rPr>
              <w:t xml:space="preserve">Female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226C1B06" w14:textId="35C7CA3A" w:rsidR="007E332E" w:rsidRPr="00D20E0B" w:rsidRDefault="007E332E" w:rsidP="007E33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D20E0B">
              <w:rPr>
                <w:rFonts w:ascii="Arial" w:eastAsia="Times New Roman" w:hAnsi="Arial" w:cs="Arial"/>
                <w:b/>
                <w:bCs/>
                <w:color w:val="3A7C22" w:themeColor="accent6" w:themeShade="BF"/>
                <w:kern w:val="0"/>
                <w:sz w:val="20"/>
                <w:szCs w:val="20"/>
                <w:lang w:eastAsia="en-IE"/>
                <w14:ligatures w14:val="none"/>
              </w:rPr>
              <w:t>Male</w:t>
            </w:r>
          </w:p>
        </w:tc>
      </w:tr>
      <w:tr w:rsidR="00460C4E" w:rsidRPr="00C57773" w14:paraId="2B571C85" w14:textId="6FCF58CC" w:rsidTr="00460C4E">
        <w:trPr>
          <w:trHeight w:val="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6FAD" w14:textId="77777777" w:rsidR="00460C4E" w:rsidRPr="00C57773" w:rsidRDefault="00460C4E" w:rsidP="0046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Lower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36C2" w14:textId="3B0ED526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0595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148C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47%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865B" w14:textId="7C4235A7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-1%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74BD" w14:textId="7D6F9A85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1%</w:t>
            </w:r>
          </w:p>
        </w:tc>
      </w:tr>
      <w:tr w:rsidR="00460C4E" w:rsidRPr="00C57773" w14:paraId="2987299B" w14:textId="706E1C06" w:rsidTr="00460C4E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F61A" w14:textId="77777777" w:rsidR="00460C4E" w:rsidRPr="00C57773" w:rsidRDefault="00460C4E" w:rsidP="0046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Lower Middle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30D8" w14:textId="4129CE1F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65A8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9AF3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FD9BD" w14:textId="16054A1C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-7%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068B" w14:textId="1FA383AB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7%</w:t>
            </w:r>
          </w:p>
        </w:tc>
      </w:tr>
      <w:tr w:rsidR="00460C4E" w:rsidRPr="00C57773" w14:paraId="510C5761" w14:textId="6226229B" w:rsidTr="00460C4E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E42B" w14:textId="77777777" w:rsidR="00460C4E" w:rsidRPr="00C57773" w:rsidRDefault="00460C4E" w:rsidP="0046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Upper Middle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1CB0" w14:textId="5BB7E0E8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1091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7167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ECDE8" w14:textId="5904A901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-4%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A7DE1" w14:textId="7615CEC2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4%</w:t>
            </w:r>
          </w:p>
        </w:tc>
      </w:tr>
      <w:tr w:rsidR="00460C4E" w:rsidRPr="00C57773" w14:paraId="3AA416C0" w14:textId="5EDA3135" w:rsidTr="00460C4E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11B5" w14:textId="77777777" w:rsidR="00460C4E" w:rsidRPr="00C57773" w:rsidRDefault="00460C4E" w:rsidP="0046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Upper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350E" w14:textId="71389A86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E71E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33DB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3F30F" w14:textId="491BAEFC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EB889" w14:textId="382B2596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-3%</w:t>
            </w:r>
          </w:p>
        </w:tc>
      </w:tr>
      <w:tr w:rsidR="00460C4E" w:rsidRPr="00C57773" w14:paraId="5CE3DB36" w14:textId="4752D2F5" w:rsidTr="00460C4E">
        <w:trPr>
          <w:trHeight w:val="29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99473" w14:textId="77777777" w:rsidR="00460C4E" w:rsidRPr="00C57773" w:rsidRDefault="00460C4E" w:rsidP="00460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All Staff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0CB4E" w14:textId="7CC5D166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920ED1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F14F6" w14:textId="77777777" w:rsidR="00460C4E" w:rsidRPr="00C57773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C5777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1E5B956" w14:textId="28F86363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-2%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F73DDEA" w14:textId="41C0E045" w:rsidR="00460C4E" w:rsidRPr="00D20E0B" w:rsidRDefault="00460C4E" w:rsidP="00460C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</w:pPr>
            <w:r w:rsidRPr="002F108B">
              <w:rPr>
                <w:rFonts w:ascii="Calibri" w:eastAsia="Times New Roman" w:hAnsi="Calibri" w:cs="Calibri"/>
                <w:color w:val="3A7C22" w:themeColor="accent6" w:themeShade="BF"/>
                <w:kern w:val="0"/>
                <w:sz w:val="22"/>
                <w:szCs w:val="22"/>
                <w:lang w:eastAsia="en-IE"/>
                <w14:ligatures w14:val="none"/>
              </w:rPr>
              <w:t>2%</w:t>
            </w:r>
          </w:p>
        </w:tc>
      </w:tr>
    </w:tbl>
    <w:p w14:paraId="68D5DBE5" w14:textId="77777777" w:rsidR="00D83E1F" w:rsidRDefault="00D83E1F" w:rsidP="009629A2">
      <w:pPr>
        <w:spacing w:after="0"/>
        <w:rPr>
          <w:rFonts w:cstheme="minorHAnsi"/>
        </w:rPr>
      </w:pPr>
    </w:p>
    <w:p w14:paraId="19DB7390" w14:textId="166CCAA0" w:rsidR="00851752" w:rsidRPr="00AB4E56" w:rsidRDefault="00851752" w:rsidP="009629A2">
      <w:pPr>
        <w:spacing w:after="0"/>
        <w:rPr>
          <w:rFonts w:cstheme="minorHAnsi"/>
          <w:sz w:val="22"/>
          <w:szCs w:val="22"/>
        </w:rPr>
      </w:pPr>
      <w:r w:rsidRPr="00AB4E56">
        <w:rPr>
          <w:rFonts w:cstheme="minorHAnsi"/>
          <w:sz w:val="22"/>
          <w:szCs w:val="22"/>
        </w:rPr>
        <w:t xml:space="preserve">In 2025, </w:t>
      </w:r>
      <w:r w:rsidR="00E76EA9" w:rsidRPr="00AB4E56">
        <w:rPr>
          <w:rFonts w:cstheme="minorHAnsi"/>
          <w:sz w:val="22"/>
          <w:szCs w:val="22"/>
        </w:rPr>
        <w:t xml:space="preserve">45% of staff in the </w:t>
      </w:r>
      <w:r w:rsidR="00202243" w:rsidRPr="00AB4E56">
        <w:rPr>
          <w:rFonts w:cstheme="minorHAnsi"/>
          <w:sz w:val="22"/>
          <w:szCs w:val="22"/>
        </w:rPr>
        <w:t xml:space="preserve">Lower and Lower Middle </w:t>
      </w:r>
      <w:r w:rsidR="00E76EA9" w:rsidRPr="00AB4E56">
        <w:rPr>
          <w:rFonts w:cstheme="minorHAnsi"/>
          <w:sz w:val="22"/>
          <w:szCs w:val="22"/>
        </w:rPr>
        <w:t xml:space="preserve">quartiles combined were female, </w:t>
      </w:r>
      <w:r w:rsidR="007C04B5" w:rsidRPr="00AB4E56">
        <w:rPr>
          <w:rFonts w:cstheme="minorHAnsi"/>
          <w:sz w:val="22"/>
          <w:szCs w:val="22"/>
        </w:rPr>
        <w:t xml:space="preserve">and similarly, 45% of staff in the </w:t>
      </w:r>
      <w:r w:rsidR="00202243" w:rsidRPr="00AB4E56">
        <w:rPr>
          <w:rFonts w:cstheme="minorHAnsi"/>
          <w:sz w:val="22"/>
          <w:szCs w:val="22"/>
        </w:rPr>
        <w:t xml:space="preserve">Upper Middle and Upper </w:t>
      </w:r>
      <w:r w:rsidR="00791760" w:rsidRPr="00AB4E56">
        <w:rPr>
          <w:rFonts w:cstheme="minorHAnsi"/>
          <w:sz w:val="22"/>
          <w:szCs w:val="22"/>
        </w:rPr>
        <w:t xml:space="preserve">quartiles combined were female. Given that 45% of </w:t>
      </w:r>
      <w:r w:rsidR="001A6117" w:rsidRPr="00AB4E56">
        <w:rPr>
          <w:rFonts w:cstheme="minorHAnsi"/>
          <w:sz w:val="22"/>
          <w:szCs w:val="22"/>
        </w:rPr>
        <w:t xml:space="preserve">the total staff in the reporting period were female, this represents a </w:t>
      </w:r>
      <w:proofErr w:type="gramStart"/>
      <w:r w:rsidR="00675537">
        <w:rPr>
          <w:rFonts w:cstheme="minorHAnsi"/>
          <w:sz w:val="22"/>
          <w:szCs w:val="22"/>
        </w:rPr>
        <w:t>fairly</w:t>
      </w:r>
      <w:r w:rsidR="001A6117" w:rsidRPr="00AB4E56">
        <w:rPr>
          <w:rFonts w:cstheme="minorHAnsi"/>
          <w:sz w:val="22"/>
          <w:szCs w:val="22"/>
        </w:rPr>
        <w:t xml:space="preserve"> </w:t>
      </w:r>
      <w:r w:rsidR="009244C5" w:rsidRPr="00AB4E56">
        <w:rPr>
          <w:rFonts w:cstheme="minorHAnsi"/>
          <w:sz w:val="22"/>
          <w:szCs w:val="22"/>
        </w:rPr>
        <w:t>representative</w:t>
      </w:r>
      <w:proofErr w:type="gramEnd"/>
      <w:r w:rsidR="001A6117" w:rsidRPr="00AB4E56">
        <w:rPr>
          <w:rFonts w:cstheme="minorHAnsi"/>
          <w:sz w:val="22"/>
          <w:szCs w:val="22"/>
        </w:rPr>
        <w:t xml:space="preserve"> spread </w:t>
      </w:r>
      <w:r w:rsidR="009244C5" w:rsidRPr="00AB4E56">
        <w:rPr>
          <w:rFonts w:cstheme="minorHAnsi"/>
          <w:sz w:val="22"/>
          <w:szCs w:val="22"/>
        </w:rPr>
        <w:t>across</w:t>
      </w:r>
      <w:r w:rsidR="001A6117" w:rsidRPr="00AB4E56">
        <w:rPr>
          <w:rFonts w:cstheme="minorHAnsi"/>
          <w:sz w:val="22"/>
          <w:szCs w:val="22"/>
        </w:rPr>
        <w:t xml:space="preserve"> the lower and upper quartiles. </w:t>
      </w:r>
    </w:p>
    <w:p w14:paraId="706C91CE" w14:textId="77777777" w:rsidR="00C47190" w:rsidRPr="00AB4E56" w:rsidRDefault="00C47190" w:rsidP="009629A2">
      <w:pPr>
        <w:spacing w:after="0"/>
        <w:rPr>
          <w:rFonts w:cstheme="minorHAnsi"/>
          <w:sz w:val="22"/>
          <w:szCs w:val="22"/>
        </w:rPr>
      </w:pPr>
    </w:p>
    <w:p w14:paraId="13EE00CD" w14:textId="56817DA4" w:rsidR="00C47190" w:rsidRPr="00AB4E56" w:rsidRDefault="001A1AE4" w:rsidP="009629A2">
      <w:pPr>
        <w:spacing w:after="0"/>
        <w:rPr>
          <w:rFonts w:cstheme="minorHAnsi"/>
          <w:sz w:val="22"/>
          <w:szCs w:val="22"/>
        </w:rPr>
      </w:pPr>
      <w:r w:rsidRPr="00AB4E56">
        <w:rPr>
          <w:rFonts w:cstheme="minorHAnsi"/>
          <w:sz w:val="22"/>
          <w:szCs w:val="22"/>
        </w:rPr>
        <w:t>Comparing</w:t>
      </w:r>
      <w:r w:rsidR="00C47190" w:rsidRPr="00AB4E56">
        <w:rPr>
          <w:rFonts w:cstheme="minorHAnsi"/>
          <w:sz w:val="22"/>
          <w:szCs w:val="22"/>
        </w:rPr>
        <w:t xml:space="preserve"> with figures for 2024 </w:t>
      </w:r>
      <w:r w:rsidR="00D10D11" w:rsidRPr="00AB4E56">
        <w:rPr>
          <w:rFonts w:cstheme="minorHAnsi"/>
          <w:sz w:val="22"/>
          <w:szCs w:val="22"/>
        </w:rPr>
        <w:t xml:space="preserve">when 47% of employees </w:t>
      </w:r>
      <w:r w:rsidR="00D90DD3">
        <w:rPr>
          <w:rFonts w:cstheme="minorHAnsi"/>
          <w:sz w:val="22"/>
          <w:szCs w:val="22"/>
        </w:rPr>
        <w:t xml:space="preserve">reported on </w:t>
      </w:r>
      <w:r w:rsidR="00D10D11" w:rsidRPr="00AB4E56">
        <w:rPr>
          <w:rFonts w:cstheme="minorHAnsi"/>
          <w:sz w:val="22"/>
          <w:szCs w:val="22"/>
        </w:rPr>
        <w:t xml:space="preserve">were female, we see that </w:t>
      </w:r>
      <w:r w:rsidR="00AA4746">
        <w:rPr>
          <w:rFonts w:cstheme="minorHAnsi"/>
          <w:sz w:val="22"/>
          <w:szCs w:val="22"/>
        </w:rPr>
        <w:t>in 2025 there was</w:t>
      </w:r>
      <w:r w:rsidR="00D10D11" w:rsidRPr="00AB4E56">
        <w:rPr>
          <w:rFonts w:cstheme="minorHAnsi"/>
          <w:sz w:val="22"/>
          <w:szCs w:val="22"/>
        </w:rPr>
        <w:t xml:space="preserve"> </w:t>
      </w:r>
      <w:r w:rsidR="00BB57F3" w:rsidRPr="00AB4E56">
        <w:rPr>
          <w:rFonts w:cstheme="minorHAnsi"/>
          <w:sz w:val="22"/>
          <w:szCs w:val="22"/>
        </w:rPr>
        <w:t>a 3% increase in the percentage of female employees in the Upper quartile</w:t>
      </w:r>
      <w:r w:rsidR="00672F44" w:rsidRPr="00AB4E56">
        <w:rPr>
          <w:rFonts w:cstheme="minorHAnsi"/>
          <w:sz w:val="22"/>
          <w:szCs w:val="22"/>
        </w:rPr>
        <w:t>, but a decrease in the percentage of females across the other</w:t>
      </w:r>
      <w:r w:rsidR="00B74065" w:rsidRPr="00AB4E56">
        <w:rPr>
          <w:rFonts w:cstheme="minorHAnsi"/>
          <w:sz w:val="22"/>
          <w:szCs w:val="22"/>
        </w:rPr>
        <w:t xml:space="preserve"> quartiles.</w:t>
      </w:r>
    </w:p>
    <w:p w14:paraId="1C14B683" w14:textId="77777777" w:rsidR="00851752" w:rsidRDefault="00851752" w:rsidP="009629A2">
      <w:pPr>
        <w:spacing w:after="0"/>
        <w:rPr>
          <w:rFonts w:cstheme="minorHAnsi"/>
          <w:color w:val="0070C0"/>
        </w:rPr>
      </w:pPr>
    </w:p>
    <w:p w14:paraId="635C8EBF" w14:textId="3351A63A" w:rsidR="00A81122" w:rsidRPr="00853873" w:rsidRDefault="00853873" w:rsidP="00B755A1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070C0"/>
        </w:rPr>
      </w:pPr>
      <w:r w:rsidRPr="00853873">
        <w:rPr>
          <w:rFonts w:cstheme="minorHAnsi"/>
          <w:b/>
          <w:bCs/>
          <w:color w:val="0070C0"/>
        </w:rPr>
        <w:t>All Staff Mean Hourly Renumeration</w:t>
      </w:r>
      <w:r w:rsidR="00D219F8">
        <w:rPr>
          <w:rFonts w:cstheme="minorHAnsi"/>
          <w:b/>
          <w:bCs/>
          <w:color w:val="0070C0"/>
        </w:rPr>
        <w:t xml:space="preserve"> 2025</w:t>
      </w:r>
    </w:p>
    <w:p w14:paraId="66CF92B4" w14:textId="40BDD119" w:rsidR="00A7730E" w:rsidRPr="00C168BF" w:rsidRDefault="00B23D99" w:rsidP="00AB4E56">
      <w:pPr>
        <w:pStyle w:val="FootnoteTex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The mean is the average. </w:t>
      </w:r>
      <w:r w:rsidR="00A7730E" w:rsidRPr="00C168BF">
        <w:rPr>
          <w:i/>
          <w:iCs/>
          <w:sz w:val="22"/>
          <w:szCs w:val="22"/>
        </w:rPr>
        <w:t xml:space="preserve">Mean </w:t>
      </w:r>
      <w:r w:rsidR="00AB4E56" w:rsidRPr="00C168BF">
        <w:rPr>
          <w:i/>
          <w:iCs/>
          <w:sz w:val="22"/>
          <w:szCs w:val="22"/>
        </w:rPr>
        <w:t>pay</w:t>
      </w:r>
      <w:r w:rsidR="00AD2CE8">
        <w:rPr>
          <w:i/>
          <w:iCs/>
          <w:sz w:val="22"/>
          <w:szCs w:val="22"/>
        </w:rPr>
        <w:t xml:space="preserve"> by gender</w:t>
      </w:r>
      <w:r w:rsidR="00AB4E56" w:rsidRPr="00C168BF">
        <w:rPr>
          <w:i/>
          <w:iCs/>
          <w:sz w:val="22"/>
          <w:szCs w:val="22"/>
        </w:rPr>
        <w:t xml:space="preserve"> is</w:t>
      </w:r>
      <w:r w:rsidR="00A7730E" w:rsidRPr="00C168BF">
        <w:rPr>
          <w:i/>
          <w:iCs/>
          <w:sz w:val="22"/>
          <w:szCs w:val="22"/>
        </w:rPr>
        <w:t xml:space="preserve"> calculated by adding the hourly rate for all </w:t>
      </w:r>
      <w:r w:rsidR="00AD2CE8">
        <w:rPr>
          <w:i/>
          <w:iCs/>
          <w:sz w:val="22"/>
          <w:szCs w:val="22"/>
        </w:rPr>
        <w:t>fe</w:t>
      </w:r>
      <w:r w:rsidR="00A7730E" w:rsidRPr="00C168BF">
        <w:rPr>
          <w:i/>
          <w:iCs/>
          <w:sz w:val="22"/>
          <w:szCs w:val="22"/>
        </w:rPr>
        <w:t xml:space="preserve">male employees and dividing this by the number of </w:t>
      </w:r>
      <w:r w:rsidR="00AD2CE8">
        <w:rPr>
          <w:i/>
          <w:iCs/>
          <w:sz w:val="22"/>
          <w:szCs w:val="22"/>
        </w:rPr>
        <w:t>fe</w:t>
      </w:r>
      <w:r w:rsidR="00A7730E" w:rsidRPr="00C168BF">
        <w:rPr>
          <w:i/>
          <w:iCs/>
          <w:sz w:val="22"/>
          <w:szCs w:val="22"/>
        </w:rPr>
        <w:t>male employees. The same calculation is carried out for male employees to allow us to identify the gap</w:t>
      </w:r>
      <w:r w:rsidR="00AD2CE8">
        <w:rPr>
          <w:i/>
          <w:iCs/>
          <w:sz w:val="22"/>
          <w:szCs w:val="22"/>
        </w:rPr>
        <w:t>.</w:t>
      </w:r>
    </w:p>
    <w:p w14:paraId="710D3725" w14:textId="77777777" w:rsidR="00A81122" w:rsidRPr="00853873" w:rsidRDefault="00A81122" w:rsidP="009629A2">
      <w:pPr>
        <w:spacing w:after="0"/>
        <w:rPr>
          <w:rFonts w:cstheme="minorHAnsi"/>
          <w:color w:val="0070C0"/>
        </w:rPr>
      </w:pPr>
    </w:p>
    <w:p w14:paraId="5CE92EB9" w14:textId="732DD55A" w:rsidR="00A81122" w:rsidRDefault="00C97220" w:rsidP="009629A2">
      <w:pPr>
        <w:spacing w:after="0"/>
        <w:rPr>
          <w:rFonts w:cstheme="minorHAnsi"/>
        </w:rPr>
      </w:pPr>
      <w:r w:rsidRPr="00A5233B">
        <w:rPr>
          <w:rFonts w:cstheme="minorHAnsi"/>
          <w:noProof/>
        </w:rPr>
        <w:drawing>
          <wp:inline distT="0" distB="0" distL="0" distR="0" wp14:anchorId="405ECF36" wp14:editId="1B7391B2">
            <wp:extent cx="4580172" cy="2959100"/>
            <wp:effectExtent l="0" t="0" r="0" b="0"/>
            <wp:docPr id="955752913" name="Picture 1" descr="A pie chart with numbers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52913" name="Picture 1" descr="A pie chart with numbers and a few word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1511" cy="29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3BF9" w14:textId="77777777" w:rsidR="00A81122" w:rsidRPr="000224D4" w:rsidRDefault="00A81122" w:rsidP="009629A2">
      <w:pPr>
        <w:spacing w:after="0"/>
        <w:rPr>
          <w:rFonts w:cstheme="minorHAnsi"/>
          <w:sz w:val="22"/>
          <w:szCs w:val="22"/>
        </w:rPr>
      </w:pPr>
    </w:p>
    <w:p w14:paraId="2083C08E" w14:textId="77777777" w:rsidR="000224D4" w:rsidRPr="000224D4" w:rsidRDefault="000224D4" w:rsidP="009629A2">
      <w:pPr>
        <w:spacing w:after="0"/>
        <w:rPr>
          <w:rFonts w:cstheme="minorHAnsi"/>
          <w:sz w:val="22"/>
          <w:szCs w:val="22"/>
        </w:rPr>
      </w:pPr>
    </w:p>
    <w:tbl>
      <w:tblPr>
        <w:tblW w:w="7200" w:type="dxa"/>
        <w:tblLook w:val="04A0" w:firstRow="1" w:lastRow="0" w:firstColumn="1" w:lastColumn="0" w:noHBand="0" w:noVBand="1"/>
      </w:tblPr>
      <w:tblGrid>
        <w:gridCol w:w="3200"/>
        <w:gridCol w:w="1060"/>
        <w:gridCol w:w="1020"/>
        <w:gridCol w:w="960"/>
        <w:gridCol w:w="960"/>
      </w:tblGrid>
      <w:tr w:rsidR="00F200F5" w:rsidRPr="00F200F5" w14:paraId="44546265" w14:textId="77777777" w:rsidTr="00F200F5">
        <w:trPr>
          <w:trHeight w:val="29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6FBF3F56" w14:textId="10D9ADDC" w:rsidR="00F200F5" w:rsidRPr="00F200F5" w:rsidRDefault="001A3E6F" w:rsidP="00F200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Year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16EDAF5F" w14:textId="21A81C80" w:rsidR="00F200F5" w:rsidRPr="00F200F5" w:rsidRDefault="00F200F5" w:rsidP="002071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Female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376D7CFE" w14:textId="51F91DEE" w:rsidR="00F200F5" w:rsidRPr="00F200F5" w:rsidRDefault="00F200F5" w:rsidP="002071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7E60FFED" w14:textId="77777777" w:rsidR="00F200F5" w:rsidRPr="00F200F5" w:rsidRDefault="00F200F5" w:rsidP="00F200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200F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Gap €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6A471743" w14:textId="77777777" w:rsidR="00F200F5" w:rsidRPr="00F200F5" w:rsidRDefault="00F200F5" w:rsidP="00F200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F200F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Gap %</w:t>
            </w:r>
          </w:p>
        </w:tc>
      </w:tr>
      <w:tr w:rsidR="00F200F5" w:rsidRPr="00F200F5" w14:paraId="41ADAC89" w14:textId="77777777" w:rsidTr="00F200F5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9C99" w14:textId="49E11DEC" w:rsidR="00F200F5" w:rsidRPr="00F200F5" w:rsidRDefault="002071B9" w:rsidP="0020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869B" w14:textId="707E79B6" w:rsidR="00F200F5" w:rsidRPr="00F200F5" w:rsidRDefault="00F200F5" w:rsidP="00F200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</w:t>
            </w: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32.2</w:t>
            </w:r>
            <w:r w:rsidR="00996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 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A6E0" w14:textId="6AA931B0" w:rsidR="00F200F5" w:rsidRPr="00F200F5" w:rsidRDefault="00F200F5" w:rsidP="00F200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</w:t>
            </w: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31.5</w:t>
            </w:r>
            <w:r w:rsidR="00996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AC8D" w14:textId="77E41F0D" w:rsidR="00F200F5" w:rsidRPr="00F200F5" w:rsidRDefault="00F200F5" w:rsidP="00FA6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0.7</w:t>
            </w:r>
            <w:r w:rsidR="00996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7A81" w14:textId="7521AADB" w:rsidR="00F200F5" w:rsidRPr="00F200F5" w:rsidRDefault="00F200F5" w:rsidP="00F200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F200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2.2%</w:t>
            </w:r>
          </w:p>
        </w:tc>
      </w:tr>
      <w:tr w:rsidR="002071B9" w:rsidRPr="00F200F5" w14:paraId="24AE36D9" w14:textId="77777777" w:rsidTr="00F200F5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581EA" w14:textId="768C1FF8" w:rsidR="002071B9" w:rsidRDefault="002071B9" w:rsidP="0020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5AA40" w14:textId="3F103B9F" w:rsidR="002071B9" w:rsidRPr="00BA019C" w:rsidRDefault="00D87792" w:rsidP="00F200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€31.</w:t>
            </w:r>
            <w:r w:rsidR="001872E1"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  <w:r w:rsidR="00996A91"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3496" w14:textId="6CCC0A04" w:rsidR="002071B9" w:rsidRPr="00BA019C" w:rsidRDefault="00D87792" w:rsidP="00F200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€31.1</w:t>
            </w:r>
            <w:r w:rsidR="00996A91"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B4871" w14:textId="05882811" w:rsidR="002071B9" w:rsidRPr="00BA019C" w:rsidRDefault="00810A95" w:rsidP="00FA6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- </w:t>
            </w:r>
            <w:r w:rsidR="001872E1"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0.1</w:t>
            </w:r>
            <w:r w:rsidR="00996A91"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EAE4" w14:textId="6C4499EF" w:rsidR="002071B9" w:rsidRPr="00BA019C" w:rsidRDefault="00810A95" w:rsidP="00810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- </w:t>
            </w:r>
            <w:r w:rsidR="001872E1"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0.2%</w:t>
            </w:r>
          </w:p>
        </w:tc>
      </w:tr>
      <w:tr w:rsidR="00461E0B" w:rsidRPr="00F200F5" w14:paraId="7E9B344B" w14:textId="77777777" w:rsidTr="00BA019C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E836" w14:textId="2AA3E596" w:rsidR="00461E0B" w:rsidRDefault="00461E0B" w:rsidP="002071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21ACF" w14:textId="3A83AB1C" w:rsidR="00461E0B" w:rsidRPr="00BA019C" w:rsidRDefault="003240B4" w:rsidP="00F200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€28.60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B6412" w14:textId="575A7024" w:rsidR="00461E0B" w:rsidRPr="00BA019C" w:rsidRDefault="003240B4" w:rsidP="00F200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</w:t>
            </w:r>
            <w:r w:rsidR="00ED29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29.40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DD76" w14:textId="6D479DAC" w:rsidR="00461E0B" w:rsidRPr="00BA019C" w:rsidRDefault="00ED29D8" w:rsidP="00FA6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-</w:t>
            </w:r>
            <w:r w:rsidR="00B51FE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0.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E9FF4" w14:textId="7BADF4B6" w:rsidR="00461E0B" w:rsidRPr="00BA019C" w:rsidRDefault="000239AE" w:rsidP="00810A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-</w:t>
            </w:r>
            <w:r w:rsidR="0059428C" w:rsidRPr="00BA019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2.7%</w:t>
            </w:r>
          </w:p>
        </w:tc>
      </w:tr>
    </w:tbl>
    <w:p w14:paraId="53268C3A" w14:textId="77777777" w:rsidR="00E87CE8" w:rsidRDefault="00E87CE8" w:rsidP="009629A2">
      <w:pPr>
        <w:spacing w:after="0"/>
        <w:rPr>
          <w:rFonts w:cstheme="minorHAnsi"/>
        </w:rPr>
      </w:pPr>
    </w:p>
    <w:p w14:paraId="18C8E8B9" w14:textId="2A71B1A1" w:rsidR="00AB4660" w:rsidRPr="009169CE" w:rsidRDefault="00DB0DD0" w:rsidP="00156239">
      <w:pPr>
        <w:autoSpaceDE w:val="0"/>
        <w:autoSpaceDN w:val="0"/>
        <w:adjustRightInd w:val="0"/>
        <w:spacing w:after="0" w:line="240" w:lineRule="auto"/>
        <w:rPr>
          <w:bCs/>
          <w:sz w:val="22"/>
          <w:szCs w:val="22"/>
        </w:rPr>
      </w:pPr>
      <w:r w:rsidRPr="009169CE">
        <w:rPr>
          <w:sz w:val="22"/>
          <w:szCs w:val="22"/>
        </w:rPr>
        <w:t xml:space="preserve">In 2025, the mean </w:t>
      </w:r>
      <w:r w:rsidR="008E1C8C" w:rsidRPr="009169CE">
        <w:rPr>
          <w:sz w:val="22"/>
          <w:szCs w:val="22"/>
        </w:rPr>
        <w:t>hourly rate of pay for female staff reported on was</w:t>
      </w:r>
      <w:r w:rsidR="00B85E04" w:rsidRPr="009169CE">
        <w:rPr>
          <w:sz w:val="22"/>
          <w:szCs w:val="22"/>
        </w:rPr>
        <w:t xml:space="preserve"> </w:t>
      </w:r>
      <w:r w:rsidR="000A33D7" w:rsidRPr="009169CE">
        <w:rPr>
          <w:sz w:val="22"/>
          <w:szCs w:val="22"/>
        </w:rPr>
        <w:t xml:space="preserve">70 </w:t>
      </w:r>
      <w:proofErr w:type="gramStart"/>
      <w:r w:rsidR="000A33D7" w:rsidRPr="009169CE">
        <w:rPr>
          <w:sz w:val="22"/>
          <w:szCs w:val="22"/>
        </w:rPr>
        <w:t>cent</w:t>
      </w:r>
      <w:proofErr w:type="gramEnd"/>
      <w:r w:rsidR="000A33D7" w:rsidRPr="009169CE">
        <w:rPr>
          <w:sz w:val="22"/>
          <w:szCs w:val="22"/>
        </w:rPr>
        <w:t xml:space="preserve"> higher than for males, at</w:t>
      </w:r>
      <w:r w:rsidR="008E1C8C" w:rsidRPr="009169CE">
        <w:rPr>
          <w:sz w:val="22"/>
          <w:szCs w:val="22"/>
        </w:rPr>
        <w:t xml:space="preserve"> €32.20 and </w:t>
      </w:r>
      <w:r w:rsidR="00C3428C" w:rsidRPr="009169CE">
        <w:rPr>
          <w:sz w:val="22"/>
          <w:szCs w:val="22"/>
        </w:rPr>
        <w:t>€31.20</w:t>
      </w:r>
      <w:r w:rsidR="000A33D7" w:rsidRPr="009169CE">
        <w:rPr>
          <w:sz w:val="22"/>
          <w:szCs w:val="22"/>
        </w:rPr>
        <w:t xml:space="preserve"> respectively</w:t>
      </w:r>
      <w:r w:rsidR="00C3428C" w:rsidRPr="009169CE">
        <w:rPr>
          <w:sz w:val="22"/>
          <w:szCs w:val="22"/>
        </w:rPr>
        <w:t xml:space="preserve">. </w:t>
      </w:r>
      <w:r w:rsidR="00156239" w:rsidRPr="009169CE">
        <w:rPr>
          <w:sz w:val="22"/>
          <w:szCs w:val="22"/>
        </w:rPr>
        <w:t>Th</w:t>
      </w:r>
      <w:r w:rsidR="00B415F7" w:rsidRPr="009169CE">
        <w:rPr>
          <w:sz w:val="22"/>
          <w:szCs w:val="22"/>
        </w:rPr>
        <w:t>is meant</w:t>
      </w:r>
      <w:r w:rsidR="00902863" w:rsidRPr="009169CE">
        <w:rPr>
          <w:sz w:val="22"/>
          <w:szCs w:val="22"/>
        </w:rPr>
        <w:t xml:space="preserve"> the</w:t>
      </w:r>
      <w:r w:rsidR="00156239" w:rsidRPr="009169CE">
        <w:rPr>
          <w:sz w:val="22"/>
          <w:szCs w:val="22"/>
        </w:rPr>
        <w:t xml:space="preserve"> percentage gap in </w:t>
      </w:r>
      <w:r w:rsidR="00156239" w:rsidRPr="009169CE">
        <w:rPr>
          <w:bCs/>
          <w:sz w:val="22"/>
          <w:szCs w:val="22"/>
        </w:rPr>
        <w:t xml:space="preserve">mean pay between female and male employees </w:t>
      </w:r>
      <w:r w:rsidR="00D209AB" w:rsidRPr="009169CE">
        <w:rPr>
          <w:bCs/>
          <w:sz w:val="22"/>
          <w:szCs w:val="22"/>
        </w:rPr>
        <w:t xml:space="preserve">reported on </w:t>
      </w:r>
      <w:r w:rsidR="007B2563" w:rsidRPr="009169CE">
        <w:rPr>
          <w:bCs/>
          <w:sz w:val="22"/>
          <w:szCs w:val="22"/>
        </w:rPr>
        <w:t>wa</w:t>
      </w:r>
      <w:r w:rsidR="00156239" w:rsidRPr="009169CE">
        <w:rPr>
          <w:bCs/>
          <w:sz w:val="22"/>
          <w:szCs w:val="22"/>
        </w:rPr>
        <w:t xml:space="preserve">s 2.2% in favour of </w:t>
      </w:r>
      <w:r w:rsidR="00810A95" w:rsidRPr="009169CE">
        <w:rPr>
          <w:bCs/>
          <w:sz w:val="22"/>
          <w:szCs w:val="22"/>
        </w:rPr>
        <w:t>fe</w:t>
      </w:r>
      <w:r w:rsidR="00156239" w:rsidRPr="009169CE">
        <w:rPr>
          <w:bCs/>
          <w:sz w:val="22"/>
          <w:szCs w:val="22"/>
        </w:rPr>
        <w:t xml:space="preserve">male employees. </w:t>
      </w:r>
    </w:p>
    <w:p w14:paraId="5AB365EF" w14:textId="77777777" w:rsidR="00AB4660" w:rsidRDefault="00AB4660" w:rsidP="00156239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6C0FD8A3" w14:textId="2F51FF87" w:rsidR="00FC0689" w:rsidRPr="00122358" w:rsidRDefault="00156239" w:rsidP="00156239">
      <w:pPr>
        <w:autoSpaceDE w:val="0"/>
        <w:autoSpaceDN w:val="0"/>
        <w:adjustRightInd w:val="0"/>
        <w:spacing w:after="0" w:line="240" w:lineRule="auto"/>
      </w:pPr>
      <w:r w:rsidRPr="002D6BD8">
        <w:rPr>
          <w:bCs/>
        </w:rPr>
        <w:t>Th</w:t>
      </w:r>
      <w:r w:rsidR="005D607B">
        <w:rPr>
          <w:bCs/>
        </w:rPr>
        <w:t xml:space="preserve">e </w:t>
      </w:r>
      <w:r w:rsidR="00405884">
        <w:rPr>
          <w:bCs/>
        </w:rPr>
        <w:t xml:space="preserve">2025 </w:t>
      </w:r>
      <w:r w:rsidR="005D607B">
        <w:rPr>
          <w:bCs/>
        </w:rPr>
        <w:t>percentage gap in mean</w:t>
      </w:r>
      <w:r w:rsidR="009E5FE2">
        <w:rPr>
          <w:bCs/>
        </w:rPr>
        <w:t xml:space="preserve"> hourly</w:t>
      </w:r>
      <w:r w:rsidR="005D607B">
        <w:rPr>
          <w:bCs/>
        </w:rPr>
        <w:t xml:space="preserve"> pay</w:t>
      </w:r>
      <w:r w:rsidR="004C0DE5">
        <w:rPr>
          <w:bCs/>
        </w:rPr>
        <w:t xml:space="preserve"> represents </w:t>
      </w:r>
      <w:r w:rsidRPr="002D6BD8">
        <w:rPr>
          <w:bCs/>
        </w:rPr>
        <w:t>an increase of 2</w:t>
      </w:r>
      <w:r w:rsidR="00D1626F" w:rsidRPr="002D6BD8">
        <w:rPr>
          <w:bCs/>
        </w:rPr>
        <w:t>.4</w:t>
      </w:r>
      <w:r w:rsidRPr="002D6BD8">
        <w:rPr>
          <w:bCs/>
        </w:rPr>
        <w:t xml:space="preserve">% in favour of </w:t>
      </w:r>
      <w:r w:rsidR="007B2563" w:rsidRPr="002D6BD8">
        <w:rPr>
          <w:bCs/>
        </w:rPr>
        <w:t>fe</w:t>
      </w:r>
      <w:r w:rsidRPr="002D6BD8">
        <w:rPr>
          <w:bCs/>
        </w:rPr>
        <w:t>male employees since 202</w:t>
      </w:r>
      <w:r w:rsidR="007B2563" w:rsidRPr="002D6BD8">
        <w:rPr>
          <w:bCs/>
        </w:rPr>
        <w:t>4</w:t>
      </w:r>
      <w:r w:rsidR="00B83A1C" w:rsidRPr="002D6BD8">
        <w:rPr>
          <w:bCs/>
        </w:rPr>
        <w:t xml:space="preserve"> when mean </w:t>
      </w:r>
      <w:r w:rsidR="00234E93" w:rsidRPr="002D6BD8">
        <w:rPr>
          <w:bCs/>
        </w:rPr>
        <w:t xml:space="preserve">pay </w:t>
      </w:r>
      <w:r w:rsidR="00EF5E4A" w:rsidRPr="002D6BD8">
        <w:rPr>
          <w:bCs/>
        </w:rPr>
        <w:t xml:space="preserve">was </w:t>
      </w:r>
      <w:r w:rsidR="00234E93" w:rsidRPr="002D6BD8">
        <w:rPr>
          <w:bCs/>
        </w:rPr>
        <w:t>0.2</w:t>
      </w:r>
      <w:r w:rsidR="00376AA3" w:rsidRPr="002D6BD8">
        <w:rPr>
          <w:bCs/>
        </w:rPr>
        <w:t xml:space="preserve">% </w:t>
      </w:r>
      <w:r w:rsidR="000E53CA" w:rsidRPr="002D6BD8">
        <w:rPr>
          <w:bCs/>
        </w:rPr>
        <w:t>higher for</w:t>
      </w:r>
      <w:r w:rsidR="00376AA3" w:rsidRPr="002D6BD8">
        <w:rPr>
          <w:bCs/>
        </w:rPr>
        <w:t xml:space="preserve"> male employees</w:t>
      </w:r>
      <w:r w:rsidR="00B273D2">
        <w:rPr>
          <w:bCs/>
        </w:rPr>
        <w:t>; and an increase of 4.9%</w:t>
      </w:r>
      <w:r w:rsidR="00EF35BE">
        <w:rPr>
          <w:bCs/>
        </w:rPr>
        <w:t xml:space="preserve"> on the </w:t>
      </w:r>
      <w:r w:rsidR="00946C6D" w:rsidRPr="002D6BD8">
        <w:rPr>
          <w:bCs/>
        </w:rPr>
        <w:t xml:space="preserve">2023 </w:t>
      </w:r>
      <w:r w:rsidR="00EF35BE">
        <w:rPr>
          <w:bCs/>
        </w:rPr>
        <w:t>figure which was</w:t>
      </w:r>
      <w:r w:rsidR="00B250DC" w:rsidRPr="002D6BD8">
        <w:t xml:space="preserve"> 2.</w:t>
      </w:r>
      <w:r w:rsidR="00AB7369" w:rsidRPr="002D6BD8">
        <w:t>7</w:t>
      </w:r>
      <w:r w:rsidR="00B250DC" w:rsidRPr="002D6BD8">
        <w:t xml:space="preserve">% </w:t>
      </w:r>
      <w:r w:rsidR="00946C6D" w:rsidRPr="002D6BD8">
        <w:t>in favour of male employees.</w:t>
      </w:r>
    </w:p>
    <w:p w14:paraId="37115F89" w14:textId="77777777" w:rsidR="00FC0689" w:rsidRDefault="00FC0689" w:rsidP="00156239">
      <w:pPr>
        <w:autoSpaceDE w:val="0"/>
        <w:autoSpaceDN w:val="0"/>
        <w:adjustRightInd w:val="0"/>
        <w:spacing w:after="0" w:line="240" w:lineRule="auto"/>
        <w:rPr>
          <w:bCs/>
        </w:rPr>
      </w:pPr>
    </w:p>
    <w:p w14:paraId="270BCF5D" w14:textId="3FBE0E09" w:rsidR="00D219F8" w:rsidRPr="00D219F8" w:rsidRDefault="00D219F8" w:rsidP="00D219F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070C0"/>
        </w:rPr>
      </w:pPr>
      <w:r w:rsidRPr="00D219F8">
        <w:rPr>
          <w:rFonts w:cstheme="minorHAnsi"/>
          <w:b/>
          <w:bCs/>
          <w:color w:val="0070C0"/>
        </w:rPr>
        <w:t>All Staff Me</w:t>
      </w:r>
      <w:r>
        <w:rPr>
          <w:rFonts w:cstheme="minorHAnsi"/>
          <w:b/>
          <w:bCs/>
          <w:color w:val="0070C0"/>
        </w:rPr>
        <w:t>dian</w:t>
      </w:r>
      <w:r w:rsidRPr="00D219F8">
        <w:rPr>
          <w:rFonts w:cstheme="minorHAnsi"/>
          <w:b/>
          <w:bCs/>
          <w:color w:val="0070C0"/>
        </w:rPr>
        <w:t xml:space="preserve"> Hourly Renumeration 2025</w:t>
      </w:r>
    </w:p>
    <w:p w14:paraId="4427DCBE" w14:textId="7700DA03" w:rsidR="00E876AE" w:rsidRPr="003F6627" w:rsidRDefault="00E876AE" w:rsidP="00E876AE">
      <w:pPr>
        <w:pStyle w:val="FootnoteText"/>
        <w:rPr>
          <w:i/>
          <w:iCs/>
          <w:sz w:val="22"/>
          <w:szCs w:val="22"/>
        </w:rPr>
      </w:pPr>
      <w:r w:rsidRPr="003F6627">
        <w:rPr>
          <w:i/>
          <w:iCs/>
          <w:sz w:val="22"/>
          <w:szCs w:val="22"/>
        </w:rPr>
        <w:t xml:space="preserve">Median pay is calculated by sorting hourly pay rates for female employees from </w:t>
      </w:r>
      <w:r w:rsidR="009169CE">
        <w:rPr>
          <w:i/>
          <w:iCs/>
          <w:sz w:val="22"/>
          <w:szCs w:val="22"/>
        </w:rPr>
        <w:t>low</w:t>
      </w:r>
      <w:r w:rsidRPr="003F6627">
        <w:rPr>
          <w:i/>
          <w:iCs/>
          <w:sz w:val="22"/>
          <w:szCs w:val="22"/>
        </w:rPr>
        <w:t xml:space="preserve"> to </w:t>
      </w:r>
      <w:r w:rsidR="009169CE">
        <w:rPr>
          <w:i/>
          <w:iCs/>
          <w:sz w:val="22"/>
          <w:szCs w:val="22"/>
        </w:rPr>
        <w:t>high</w:t>
      </w:r>
      <w:r w:rsidRPr="003F6627">
        <w:rPr>
          <w:i/>
          <w:iCs/>
          <w:sz w:val="22"/>
          <w:szCs w:val="22"/>
        </w:rPr>
        <w:t xml:space="preserve"> and taking the mid-point figure. The same calculation is carried out for male employees</w:t>
      </w:r>
      <w:r w:rsidR="00AF0B85">
        <w:rPr>
          <w:i/>
          <w:iCs/>
          <w:sz w:val="22"/>
          <w:szCs w:val="22"/>
        </w:rPr>
        <w:t>. The media</w:t>
      </w:r>
      <w:r w:rsidR="008247BB">
        <w:rPr>
          <w:i/>
          <w:iCs/>
          <w:sz w:val="22"/>
          <w:szCs w:val="22"/>
        </w:rPr>
        <w:t xml:space="preserve">n gender </w:t>
      </w:r>
      <w:proofErr w:type="gramStart"/>
      <w:r w:rsidR="008247BB">
        <w:rPr>
          <w:i/>
          <w:iCs/>
          <w:sz w:val="22"/>
          <w:szCs w:val="22"/>
        </w:rPr>
        <w:t>pay</w:t>
      </w:r>
      <w:proofErr w:type="gramEnd"/>
      <w:r w:rsidR="008247BB">
        <w:rPr>
          <w:i/>
          <w:iCs/>
          <w:sz w:val="22"/>
          <w:szCs w:val="22"/>
        </w:rPr>
        <w:t xml:space="preserve"> gap compares the pay of the female in the middle of their line </w:t>
      </w:r>
      <w:r w:rsidR="009169CE">
        <w:rPr>
          <w:i/>
          <w:iCs/>
          <w:sz w:val="22"/>
          <w:szCs w:val="22"/>
        </w:rPr>
        <w:t>with</w:t>
      </w:r>
      <w:r w:rsidR="008247BB">
        <w:rPr>
          <w:i/>
          <w:iCs/>
          <w:sz w:val="22"/>
          <w:szCs w:val="22"/>
        </w:rPr>
        <w:t xml:space="preserve"> the pay of the middle male. </w:t>
      </w:r>
    </w:p>
    <w:p w14:paraId="0132A308" w14:textId="77777777" w:rsidR="00DF1C26" w:rsidRDefault="00DF1C26" w:rsidP="009629A2">
      <w:pPr>
        <w:spacing w:after="0"/>
        <w:rPr>
          <w:rFonts w:cstheme="minorHAnsi"/>
        </w:rPr>
      </w:pPr>
    </w:p>
    <w:p w14:paraId="7147F48C" w14:textId="74D87C19" w:rsidR="00DF1C26" w:rsidRDefault="00B72AC6" w:rsidP="009629A2">
      <w:pPr>
        <w:spacing w:after="0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93B82A2" wp14:editId="489357E8">
            <wp:extent cx="4622800" cy="2741728"/>
            <wp:effectExtent l="0" t="0" r="6350" b="1905"/>
            <wp:docPr id="487700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279" cy="27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F3CD8" w14:textId="77777777" w:rsidR="00DF1C26" w:rsidRPr="000224D4" w:rsidRDefault="00DF1C26" w:rsidP="009629A2">
      <w:pPr>
        <w:spacing w:after="0"/>
        <w:rPr>
          <w:rFonts w:cstheme="minorHAnsi"/>
          <w:sz w:val="22"/>
          <w:szCs w:val="22"/>
        </w:rPr>
      </w:pPr>
    </w:p>
    <w:p w14:paraId="3694A8BB" w14:textId="12E1186A" w:rsidR="00E25E9B" w:rsidRPr="000224D4" w:rsidRDefault="00F675FA" w:rsidP="009629A2">
      <w:pPr>
        <w:spacing w:after="0"/>
        <w:rPr>
          <w:rFonts w:cstheme="minorHAnsi"/>
          <w:sz w:val="22"/>
          <w:szCs w:val="22"/>
        </w:rPr>
      </w:pPr>
      <w:r w:rsidRPr="000224D4">
        <w:rPr>
          <w:rFonts w:cstheme="minorHAnsi"/>
          <w:sz w:val="22"/>
          <w:szCs w:val="22"/>
        </w:rPr>
        <w:t xml:space="preserve">      </w:t>
      </w:r>
    </w:p>
    <w:tbl>
      <w:tblPr>
        <w:tblW w:w="7200" w:type="dxa"/>
        <w:tblLook w:val="04A0" w:firstRow="1" w:lastRow="0" w:firstColumn="1" w:lastColumn="0" w:noHBand="0" w:noVBand="1"/>
      </w:tblPr>
      <w:tblGrid>
        <w:gridCol w:w="3200"/>
        <w:gridCol w:w="1060"/>
        <w:gridCol w:w="1020"/>
        <w:gridCol w:w="960"/>
        <w:gridCol w:w="960"/>
      </w:tblGrid>
      <w:tr w:rsidR="00E25E9B" w:rsidRPr="00E25E9B" w14:paraId="6970CA48" w14:textId="77777777" w:rsidTr="00E25E9B">
        <w:trPr>
          <w:trHeight w:val="29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0F802C50" w14:textId="5C73B35C" w:rsidR="00E25E9B" w:rsidRPr="00E25E9B" w:rsidRDefault="009329EE" w:rsidP="00E25E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 w:rsidR="00A95CD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Year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4330B6E1" w14:textId="45909EB7" w:rsidR="00E25E9B" w:rsidRPr="00E25E9B" w:rsidRDefault="00E861C0" w:rsidP="00E25E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Female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3EE4A9F5" w14:textId="68C696ED" w:rsidR="00E25E9B" w:rsidRPr="00E25E9B" w:rsidRDefault="00E861C0" w:rsidP="00E25E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Male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6558FC23" w14:textId="77777777" w:rsidR="00E25E9B" w:rsidRPr="00E25E9B" w:rsidRDefault="00E25E9B" w:rsidP="00E25E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25E9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Gap €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75623"/>
            <w:vAlign w:val="center"/>
            <w:hideMark/>
          </w:tcPr>
          <w:p w14:paraId="21CDA648" w14:textId="77777777" w:rsidR="00E25E9B" w:rsidRPr="00E25E9B" w:rsidRDefault="00E25E9B" w:rsidP="00E25E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</w:pPr>
            <w:r w:rsidRPr="00E25E9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IE"/>
                <w14:ligatures w14:val="none"/>
              </w:rPr>
              <w:t>Gap %</w:t>
            </w:r>
          </w:p>
        </w:tc>
      </w:tr>
      <w:tr w:rsidR="00E25E9B" w:rsidRPr="00E25E9B" w14:paraId="58FF0849" w14:textId="77777777" w:rsidTr="00E25E9B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19DA" w14:textId="0746D379" w:rsidR="00E25E9B" w:rsidRPr="00E25E9B" w:rsidRDefault="00E861C0" w:rsidP="00E86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970A" w14:textId="1552020F" w:rsidR="00E25E9B" w:rsidRPr="00E25E9B" w:rsidRDefault="00E25E9B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       </w:t>
            </w:r>
            <w:r w:rsidR="003F2B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</w:t>
            </w:r>
            <w:r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31.</w:t>
            </w:r>
            <w:r w:rsidR="00E861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</w:t>
            </w:r>
            <w:r w:rsidR="00996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  <w:r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221E" w14:textId="0625BADE" w:rsidR="00E25E9B" w:rsidRPr="00E25E9B" w:rsidRDefault="00E25E9B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       </w:t>
            </w:r>
            <w:r w:rsidR="003F2B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</w:t>
            </w:r>
            <w:r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31.</w:t>
            </w:r>
            <w:r w:rsidR="00E861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  <w:r w:rsidR="00996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  <w:r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9751" w14:textId="07696E86" w:rsidR="00E25E9B" w:rsidRPr="00E25E9B" w:rsidRDefault="003F2BA6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- </w:t>
            </w:r>
            <w:r w:rsidR="00E25E9B"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0.2</w:t>
            </w:r>
            <w:r w:rsidR="006A61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BDAA" w14:textId="38AEFA49" w:rsidR="00E25E9B" w:rsidRPr="00E25E9B" w:rsidRDefault="003F2BA6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- </w:t>
            </w:r>
            <w:r w:rsidR="00E25E9B" w:rsidRPr="00E25E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0.7%</w:t>
            </w:r>
          </w:p>
        </w:tc>
      </w:tr>
      <w:tr w:rsidR="00283D57" w:rsidRPr="00E25E9B" w14:paraId="63DC98C4" w14:textId="77777777" w:rsidTr="00E25E9B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C13C4" w14:textId="7052200E" w:rsidR="00283D57" w:rsidRDefault="006A61D2" w:rsidP="00E86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F48A6" w14:textId="4F076360" w:rsidR="00283D57" w:rsidRPr="00E25E9B" w:rsidRDefault="006A61D2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</w:t>
            </w:r>
            <w:r w:rsidR="006D772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29.90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11A7" w14:textId="21623EBB" w:rsidR="00283D57" w:rsidRPr="00E25E9B" w:rsidRDefault="006D7720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€30.70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E532" w14:textId="7F2060CA" w:rsidR="00283D57" w:rsidRPr="000815C5" w:rsidRDefault="00402803" w:rsidP="0008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 </w:t>
            </w:r>
            <w:r w:rsidR="000815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-</w:t>
            </w:r>
            <w:r w:rsidR="00D419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</w:t>
            </w:r>
            <w:r w:rsidR="000815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0.</w:t>
            </w:r>
            <w:r w:rsidR="009B51C3" w:rsidRPr="000815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D8B7A" w14:textId="5C7EE6E8" w:rsidR="00283D57" w:rsidRDefault="00D41979" w:rsidP="00D41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- </w:t>
            </w:r>
            <w:r w:rsidR="000815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  <w:r w:rsidR="0010576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.7%</w:t>
            </w:r>
          </w:p>
        </w:tc>
      </w:tr>
      <w:tr w:rsidR="00880916" w:rsidRPr="00E25E9B" w14:paraId="471ED7AE" w14:textId="77777777" w:rsidTr="00E25E9B">
        <w:trPr>
          <w:trHeight w:val="2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473C2" w14:textId="2797B521" w:rsidR="00880916" w:rsidRPr="000653B6" w:rsidRDefault="00880916" w:rsidP="00E86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065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9918" w14:textId="2960CBD1" w:rsidR="00880916" w:rsidRPr="000653B6" w:rsidRDefault="007F66D0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€28.90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E95D" w14:textId="40CDD98B" w:rsidR="00880916" w:rsidRPr="000653B6" w:rsidRDefault="00CB404E" w:rsidP="003F2B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€29.20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F5EBD" w14:textId="7930E59A" w:rsidR="00880916" w:rsidRPr="000653B6" w:rsidRDefault="00633606" w:rsidP="00081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 </w:t>
            </w:r>
            <w:r w:rsidR="007F66D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0.30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25D37" w14:textId="74773007" w:rsidR="00880916" w:rsidRPr="000653B6" w:rsidRDefault="00AE5100" w:rsidP="00D419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065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   </w:t>
            </w:r>
            <w:r w:rsidR="00034067" w:rsidRPr="00065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- </w:t>
            </w:r>
            <w:r w:rsidRPr="00065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0.7%</w:t>
            </w:r>
          </w:p>
        </w:tc>
      </w:tr>
    </w:tbl>
    <w:p w14:paraId="5DE09C9F" w14:textId="77777777" w:rsidR="004D27DB" w:rsidRDefault="004D27DB" w:rsidP="009629A2">
      <w:pPr>
        <w:spacing w:after="0"/>
        <w:rPr>
          <w:rFonts w:cstheme="minorHAnsi"/>
          <w:sz w:val="22"/>
          <w:szCs w:val="22"/>
        </w:rPr>
      </w:pPr>
    </w:p>
    <w:p w14:paraId="00853318" w14:textId="0B7A67BF" w:rsidR="00A7315C" w:rsidRPr="00A53A0F" w:rsidRDefault="00252170" w:rsidP="009629A2">
      <w:pPr>
        <w:spacing w:after="0"/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</w:pPr>
      <w:r w:rsidRPr="00A53A0F">
        <w:rPr>
          <w:rFonts w:cstheme="minorHAnsi"/>
          <w:sz w:val="22"/>
          <w:szCs w:val="22"/>
        </w:rPr>
        <w:t xml:space="preserve">The median hourly </w:t>
      </w:r>
      <w:r w:rsidR="009E5FE2" w:rsidRPr="00A53A0F">
        <w:rPr>
          <w:rFonts w:cstheme="minorHAnsi"/>
          <w:sz w:val="22"/>
          <w:szCs w:val="22"/>
        </w:rPr>
        <w:t xml:space="preserve">pay rate </w:t>
      </w:r>
      <w:r w:rsidR="003E78C3" w:rsidRPr="00A53A0F">
        <w:rPr>
          <w:rFonts w:cstheme="minorHAnsi"/>
          <w:sz w:val="22"/>
          <w:szCs w:val="22"/>
        </w:rPr>
        <w:t xml:space="preserve">in 2025 </w:t>
      </w:r>
      <w:r w:rsidR="009E5FE2" w:rsidRPr="00A53A0F">
        <w:rPr>
          <w:rFonts w:cstheme="minorHAnsi"/>
          <w:sz w:val="22"/>
          <w:szCs w:val="22"/>
        </w:rPr>
        <w:t xml:space="preserve">was </w:t>
      </w:r>
      <w:r w:rsidR="003049BA" w:rsidRPr="00A53A0F">
        <w:rPr>
          <w:rFonts w:cstheme="minorHAnsi"/>
          <w:sz w:val="22"/>
          <w:szCs w:val="22"/>
        </w:rPr>
        <w:t xml:space="preserve">20 </w:t>
      </w:r>
      <w:proofErr w:type="gramStart"/>
      <w:r w:rsidR="003049BA" w:rsidRPr="00A53A0F">
        <w:rPr>
          <w:rFonts w:cstheme="minorHAnsi"/>
          <w:sz w:val="22"/>
          <w:szCs w:val="22"/>
        </w:rPr>
        <w:t>cent</w:t>
      </w:r>
      <w:proofErr w:type="gramEnd"/>
      <w:r w:rsidR="003049BA" w:rsidRPr="00A53A0F">
        <w:rPr>
          <w:rFonts w:cstheme="minorHAnsi"/>
          <w:sz w:val="22"/>
          <w:szCs w:val="22"/>
        </w:rPr>
        <w:t xml:space="preserve"> less for female staff reported on than males</w:t>
      </w:r>
      <w:r w:rsidR="00004DB8" w:rsidRPr="00A53A0F">
        <w:rPr>
          <w:rFonts w:cstheme="minorHAnsi"/>
          <w:sz w:val="22"/>
          <w:szCs w:val="22"/>
        </w:rPr>
        <w:t xml:space="preserve">, at </w:t>
      </w:r>
      <w:r w:rsidR="00004DB8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€31.60 and </w:t>
      </w:r>
      <w:r w:rsidR="00CB72F0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€31.80 respectively</w:t>
      </w:r>
      <w:r w:rsidR="003E5EE3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. At </w:t>
      </w:r>
      <w:r w:rsidR="00964795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0.7% </w:t>
      </w:r>
      <w:r w:rsidR="003E78C3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higher </w:t>
      </w:r>
      <w:r w:rsidR="00964795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in favour of males</w:t>
      </w:r>
      <w:r w:rsidR="003E5EE3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, th</w:t>
      </w:r>
      <w:r w:rsidR="003C199F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e 2025 figure is a reduction in the gap between females and males </w:t>
      </w:r>
      <w:r w:rsidR="00CB0C99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by</w:t>
      </w:r>
      <w:r w:rsidR="003C199F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 </w:t>
      </w:r>
      <w:r w:rsidR="00855C93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2% from </w:t>
      </w:r>
      <w:r w:rsidR="00405884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20</w:t>
      </w:r>
      <w:r w:rsidR="00405884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24</w:t>
      </w:r>
      <w:r w:rsidR="00405884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 </w:t>
      </w:r>
      <w:r w:rsidR="00855C93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when the median hourly rate of pay for males was</w:t>
      </w:r>
      <w:r w:rsidR="00155931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 2.7% higher than females</w:t>
      </w:r>
      <w:r w:rsidR="00034067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, and </w:t>
      </w:r>
      <w:r w:rsidR="00FB0715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the same as </w:t>
      </w:r>
      <w:r w:rsidR="00034067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2023 when it was </w:t>
      </w:r>
      <w:r w:rsidR="009D6D1C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also </w:t>
      </w:r>
      <w:r w:rsidR="00034067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0.7% higher </w:t>
      </w:r>
      <w:r w:rsidR="00617CB6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>than for females</w:t>
      </w:r>
      <w:r w:rsidR="00964795" w:rsidRPr="00A53A0F">
        <w:rPr>
          <w:rFonts w:eastAsia="Times New Roman" w:cs="Calibri"/>
          <w:color w:val="000000"/>
          <w:kern w:val="0"/>
          <w:sz w:val="22"/>
          <w:szCs w:val="22"/>
          <w:lang w:eastAsia="en-IE"/>
          <w14:ligatures w14:val="none"/>
        </w:rPr>
        <w:t xml:space="preserve">. </w:t>
      </w:r>
    </w:p>
    <w:p w14:paraId="4752011D" w14:textId="77777777" w:rsidR="000224D4" w:rsidRDefault="000224D4" w:rsidP="009629A2">
      <w:pPr>
        <w:spacing w:after="0"/>
        <w:rPr>
          <w:rFonts w:cstheme="minorHAnsi"/>
        </w:rPr>
      </w:pPr>
    </w:p>
    <w:p w14:paraId="3414D060" w14:textId="77777777" w:rsidR="005C403A" w:rsidRDefault="005C403A" w:rsidP="009629A2">
      <w:pPr>
        <w:spacing w:after="0"/>
        <w:rPr>
          <w:rFonts w:cstheme="minorHAnsi"/>
        </w:rPr>
      </w:pPr>
    </w:p>
    <w:p w14:paraId="71BC9010" w14:textId="77777777" w:rsidR="005C403A" w:rsidRPr="00155931" w:rsidRDefault="005C403A" w:rsidP="009629A2">
      <w:pPr>
        <w:spacing w:after="0"/>
        <w:rPr>
          <w:rFonts w:cstheme="minorHAnsi"/>
        </w:rPr>
      </w:pPr>
    </w:p>
    <w:p w14:paraId="58914A1B" w14:textId="26D1573F" w:rsidR="00D14F94" w:rsidRDefault="00D14F94" w:rsidP="00D14F94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0070C0"/>
        </w:rPr>
      </w:pPr>
      <w:r w:rsidRPr="00D14F94">
        <w:rPr>
          <w:rFonts w:cstheme="minorHAnsi"/>
          <w:b/>
          <w:bCs/>
          <w:color w:val="0070C0"/>
        </w:rPr>
        <w:lastRenderedPageBreak/>
        <w:t>Part-time Employees</w:t>
      </w:r>
    </w:p>
    <w:p w14:paraId="2D24584D" w14:textId="04F231C3" w:rsidR="00D14F94" w:rsidRDefault="008C2808" w:rsidP="00D14F94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Of the 5</w:t>
      </w:r>
      <w:r w:rsidR="00057225">
        <w:rPr>
          <w:rFonts w:cstheme="minorHAnsi"/>
          <w:sz w:val="22"/>
          <w:szCs w:val="22"/>
        </w:rPr>
        <w:t>12</w:t>
      </w:r>
      <w:r>
        <w:rPr>
          <w:rFonts w:cstheme="minorHAnsi"/>
          <w:sz w:val="22"/>
          <w:szCs w:val="22"/>
        </w:rPr>
        <w:t xml:space="preserve"> staff employed by Concern Republic of Ireland</w:t>
      </w:r>
      <w:r w:rsidR="00F915E3">
        <w:rPr>
          <w:rFonts w:cstheme="minorHAnsi"/>
          <w:sz w:val="22"/>
          <w:szCs w:val="22"/>
        </w:rPr>
        <w:t xml:space="preserve"> reported on</w:t>
      </w:r>
      <w:r>
        <w:rPr>
          <w:rFonts w:cstheme="minorHAnsi"/>
          <w:sz w:val="22"/>
          <w:szCs w:val="22"/>
        </w:rPr>
        <w:t xml:space="preserve"> in 20</w:t>
      </w:r>
      <w:r w:rsidR="00F915E3">
        <w:rPr>
          <w:rFonts w:cstheme="minorHAnsi"/>
          <w:sz w:val="22"/>
          <w:szCs w:val="22"/>
        </w:rPr>
        <w:t>25</w:t>
      </w:r>
      <w:r w:rsidR="00657BA0">
        <w:rPr>
          <w:rFonts w:cstheme="minorHAnsi"/>
          <w:sz w:val="22"/>
          <w:szCs w:val="22"/>
        </w:rPr>
        <w:t xml:space="preserve">, 19 </w:t>
      </w:r>
      <w:r w:rsidR="00596F7D">
        <w:rPr>
          <w:rFonts w:cstheme="minorHAnsi"/>
          <w:sz w:val="22"/>
          <w:szCs w:val="22"/>
        </w:rPr>
        <w:t>(</w:t>
      </w:r>
      <w:r w:rsidR="00877405">
        <w:rPr>
          <w:rFonts w:cstheme="minorHAnsi"/>
          <w:sz w:val="22"/>
          <w:szCs w:val="22"/>
        </w:rPr>
        <w:t>4%)</w:t>
      </w:r>
      <w:r w:rsidR="002174F2">
        <w:rPr>
          <w:rFonts w:cstheme="minorHAnsi"/>
          <w:sz w:val="22"/>
          <w:szCs w:val="22"/>
        </w:rPr>
        <w:t xml:space="preserve"> were employed on a part-time basis.</w:t>
      </w:r>
    </w:p>
    <w:p w14:paraId="6CE056D9" w14:textId="217CC625" w:rsidR="00525E28" w:rsidRPr="00E3662E" w:rsidRDefault="00525E28" w:rsidP="00525E2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E3662E">
        <w:rPr>
          <w:sz w:val="22"/>
          <w:szCs w:val="22"/>
        </w:rPr>
        <w:t xml:space="preserve">Our gender profile for </w:t>
      </w:r>
      <w:r w:rsidR="00E3662E">
        <w:rPr>
          <w:sz w:val="22"/>
          <w:szCs w:val="22"/>
        </w:rPr>
        <w:t xml:space="preserve">these </w:t>
      </w:r>
      <w:r w:rsidRPr="00E3662E">
        <w:rPr>
          <w:sz w:val="22"/>
          <w:szCs w:val="22"/>
        </w:rPr>
        <w:t>part-time employees was 8</w:t>
      </w:r>
      <w:r w:rsidR="00F207AB" w:rsidRPr="00E3662E">
        <w:rPr>
          <w:sz w:val="22"/>
          <w:szCs w:val="22"/>
        </w:rPr>
        <w:t>4</w:t>
      </w:r>
      <w:r w:rsidRPr="00E3662E">
        <w:rPr>
          <w:sz w:val="22"/>
          <w:szCs w:val="22"/>
        </w:rPr>
        <w:t>% female</w:t>
      </w:r>
      <w:r w:rsidR="009D6D1C">
        <w:rPr>
          <w:sz w:val="22"/>
          <w:szCs w:val="22"/>
        </w:rPr>
        <w:t xml:space="preserve"> and </w:t>
      </w:r>
      <w:r w:rsidRPr="00E3662E">
        <w:rPr>
          <w:sz w:val="22"/>
          <w:szCs w:val="22"/>
        </w:rPr>
        <w:t>1</w:t>
      </w:r>
      <w:r w:rsidR="00F207AB" w:rsidRPr="00E3662E">
        <w:rPr>
          <w:sz w:val="22"/>
          <w:szCs w:val="22"/>
        </w:rPr>
        <w:t>6</w:t>
      </w:r>
      <w:r w:rsidRPr="00E3662E">
        <w:rPr>
          <w:sz w:val="22"/>
          <w:szCs w:val="22"/>
        </w:rPr>
        <w:t>% male (1</w:t>
      </w:r>
      <w:r w:rsidR="00F207AB" w:rsidRPr="00E3662E">
        <w:rPr>
          <w:sz w:val="22"/>
          <w:szCs w:val="22"/>
        </w:rPr>
        <w:t>6</w:t>
      </w:r>
      <w:r w:rsidRPr="00E3662E">
        <w:rPr>
          <w:sz w:val="22"/>
          <w:szCs w:val="22"/>
        </w:rPr>
        <w:t xml:space="preserve"> women and t</w:t>
      </w:r>
      <w:r w:rsidR="00F207AB" w:rsidRPr="00E3662E">
        <w:rPr>
          <w:sz w:val="22"/>
          <w:szCs w:val="22"/>
        </w:rPr>
        <w:t>hree</w:t>
      </w:r>
      <w:r w:rsidRPr="00E3662E">
        <w:rPr>
          <w:sz w:val="22"/>
          <w:szCs w:val="22"/>
        </w:rPr>
        <w:t xml:space="preserve"> men).</w:t>
      </w:r>
    </w:p>
    <w:p w14:paraId="7570C14F" w14:textId="4A2BDB63" w:rsidR="00525E28" w:rsidRPr="00E3662E" w:rsidRDefault="00525E28" w:rsidP="00525E2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E3662E">
        <w:rPr>
          <w:sz w:val="22"/>
          <w:szCs w:val="22"/>
        </w:rPr>
        <w:t xml:space="preserve">The percentage gap in mean pay between part-time </w:t>
      </w:r>
      <w:r w:rsidR="00A25140" w:rsidRPr="00E3662E">
        <w:rPr>
          <w:sz w:val="22"/>
          <w:szCs w:val="22"/>
        </w:rPr>
        <w:t>fe</w:t>
      </w:r>
      <w:r w:rsidRPr="00E3662E">
        <w:rPr>
          <w:sz w:val="22"/>
          <w:szCs w:val="22"/>
        </w:rPr>
        <w:t xml:space="preserve">male and male employees </w:t>
      </w:r>
      <w:r w:rsidR="00F207AB" w:rsidRPr="00E3662E">
        <w:rPr>
          <w:sz w:val="22"/>
          <w:szCs w:val="22"/>
        </w:rPr>
        <w:t>wa</w:t>
      </w:r>
      <w:r w:rsidRPr="00E3662E">
        <w:rPr>
          <w:sz w:val="22"/>
          <w:szCs w:val="22"/>
        </w:rPr>
        <w:t xml:space="preserve">s </w:t>
      </w:r>
      <w:r w:rsidR="00C65A34" w:rsidRPr="00E3662E">
        <w:rPr>
          <w:sz w:val="22"/>
          <w:szCs w:val="22"/>
        </w:rPr>
        <w:t>79</w:t>
      </w:r>
      <w:r w:rsidRPr="00E3662E">
        <w:rPr>
          <w:sz w:val="22"/>
          <w:szCs w:val="22"/>
        </w:rPr>
        <w:t>% in favour of female employees</w:t>
      </w:r>
      <w:r w:rsidR="00C2346A" w:rsidRPr="00E3662E">
        <w:rPr>
          <w:sz w:val="22"/>
          <w:szCs w:val="22"/>
        </w:rPr>
        <w:t xml:space="preserve">, with a mean hourly rate for females of </w:t>
      </w:r>
      <w:r w:rsidR="00EB0450" w:rsidRPr="00E3662E">
        <w:rPr>
          <w:sz w:val="22"/>
          <w:szCs w:val="22"/>
        </w:rPr>
        <w:t>€</w:t>
      </w:r>
      <w:r w:rsidR="003E2A77" w:rsidRPr="00E3662E">
        <w:rPr>
          <w:sz w:val="22"/>
          <w:szCs w:val="22"/>
        </w:rPr>
        <w:t>33</w:t>
      </w:r>
      <w:r w:rsidR="00A25140" w:rsidRPr="00E3662E">
        <w:rPr>
          <w:sz w:val="22"/>
          <w:szCs w:val="22"/>
        </w:rPr>
        <w:t>.00</w:t>
      </w:r>
      <w:r w:rsidR="003E2A77" w:rsidRPr="00E3662E">
        <w:rPr>
          <w:sz w:val="22"/>
          <w:szCs w:val="22"/>
        </w:rPr>
        <w:t xml:space="preserve"> and for males, €</w:t>
      </w:r>
      <w:r w:rsidR="00A25140" w:rsidRPr="00E3662E">
        <w:rPr>
          <w:sz w:val="22"/>
          <w:szCs w:val="22"/>
        </w:rPr>
        <w:t>18.40.</w:t>
      </w:r>
      <w:r w:rsidR="00C2346A" w:rsidRPr="00E3662E">
        <w:rPr>
          <w:sz w:val="22"/>
          <w:szCs w:val="22"/>
        </w:rPr>
        <w:t xml:space="preserve"> </w:t>
      </w:r>
    </w:p>
    <w:p w14:paraId="1920D9D1" w14:textId="4ACA2AE5" w:rsidR="00673A1D" w:rsidRPr="00E3662E" w:rsidRDefault="00525E28" w:rsidP="00673A1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E3662E">
        <w:rPr>
          <w:sz w:val="22"/>
          <w:szCs w:val="22"/>
        </w:rPr>
        <w:t xml:space="preserve">The percentage gap in median pay between part-time </w:t>
      </w:r>
      <w:r w:rsidR="00A25140" w:rsidRPr="00E3662E">
        <w:rPr>
          <w:sz w:val="22"/>
          <w:szCs w:val="22"/>
        </w:rPr>
        <w:t>fe</w:t>
      </w:r>
      <w:r w:rsidRPr="00E3662E">
        <w:rPr>
          <w:sz w:val="22"/>
          <w:szCs w:val="22"/>
        </w:rPr>
        <w:t xml:space="preserve">male and </w:t>
      </w:r>
      <w:r w:rsidR="00413756" w:rsidRPr="00E3662E">
        <w:rPr>
          <w:sz w:val="22"/>
          <w:szCs w:val="22"/>
        </w:rPr>
        <w:t xml:space="preserve">part-time </w:t>
      </w:r>
      <w:r w:rsidRPr="00E3662E">
        <w:rPr>
          <w:sz w:val="22"/>
          <w:szCs w:val="22"/>
        </w:rPr>
        <w:t xml:space="preserve">male employees </w:t>
      </w:r>
      <w:r w:rsidR="00413756" w:rsidRPr="00E3662E">
        <w:rPr>
          <w:sz w:val="22"/>
          <w:szCs w:val="22"/>
        </w:rPr>
        <w:t>wa</w:t>
      </w:r>
      <w:r w:rsidRPr="00E3662E">
        <w:rPr>
          <w:sz w:val="22"/>
          <w:szCs w:val="22"/>
        </w:rPr>
        <w:t xml:space="preserve">s </w:t>
      </w:r>
      <w:r w:rsidR="00413756" w:rsidRPr="00E3662E">
        <w:rPr>
          <w:sz w:val="22"/>
          <w:szCs w:val="22"/>
        </w:rPr>
        <w:t>the same as the mean pay gap</w:t>
      </w:r>
      <w:r w:rsidR="00E74C54" w:rsidRPr="00E3662E">
        <w:rPr>
          <w:sz w:val="22"/>
          <w:szCs w:val="22"/>
        </w:rPr>
        <w:t>, at 79%</w:t>
      </w:r>
      <w:r w:rsidRPr="00E3662E">
        <w:rPr>
          <w:sz w:val="22"/>
          <w:szCs w:val="22"/>
        </w:rPr>
        <w:t xml:space="preserve"> in favour of female employees</w:t>
      </w:r>
      <w:r w:rsidR="00673A1D">
        <w:rPr>
          <w:sz w:val="22"/>
          <w:szCs w:val="22"/>
        </w:rPr>
        <w:t>, the median hourly rate for</w:t>
      </w:r>
      <w:r w:rsidR="00673A1D" w:rsidRPr="00E3662E">
        <w:rPr>
          <w:sz w:val="22"/>
          <w:szCs w:val="22"/>
        </w:rPr>
        <w:t xml:space="preserve"> females </w:t>
      </w:r>
      <w:r w:rsidR="00673A1D">
        <w:rPr>
          <w:sz w:val="22"/>
          <w:szCs w:val="22"/>
        </w:rPr>
        <w:t>being</w:t>
      </w:r>
      <w:r w:rsidR="00673A1D" w:rsidRPr="00E3662E">
        <w:rPr>
          <w:sz w:val="22"/>
          <w:szCs w:val="22"/>
        </w:rPr>
        <w:t xml:space="preserve"> €33.00 and for males €18.40. </w:t>
      </w:r>
    </w:p>
    <w:p w14:paraId="01B4E4EC" w14:textId="29681AB4" w:rsidR="00525E28" w:rsidRDefault="00525E28" w:rsidP="00673A1D">
      <w:pPr>
        <w:pStyle w:val="ListParagraph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407DB516" w14:textId="7A6291CF" w:rsidR="00A12A06" w:rsidRDefault="0090596C" w:rsidP="00FD35B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</w:t>
      </w:r>
      <w:r w:rsidR="00A12A06">
        <w:rPr>
          <w:sz w:val="22"/>
          <w:szCs w:val="22"/>
        </w:rPr>
        <w:t xml:space="preserve"> mean hourly pay rate and median hourly pay rate</w:t>
      </w:r>
      <w:r w:rsidR="00F06843">
        <w:rPr>
          <w:sz w:val="22"/>
          <w:szCs w:val="22"/>
        </w:rPr>
        <w:t xml:space="preserve"> of €33.00</w:t>
      </w:r>
      <w:r w:rsidR="00A12A06">
        <w:rPr>
          <w:sz w:val="22"/>
          <w:szCs w:val="22"/>
        </w:rPr>
        <w:t xml:space="preserve"> </w:t>
      </w:r>
      <w:r w:rsidR="00D71613">
        <w:rPr>
          <w:sz w:val="22"/>
          <w:szCs w:val="22"/>
        </w:rPr>
        <w:t>for the</w:t>
      </w:r>
      <w:r w:rsidR="001F378C">
        <w:rPr>
          <w:sz w:val="22"/>
          <w:szCs w:val="22"/>
        </w:rPr>
        <w:t xml:space="preserve"> </w:t>
      </w:r>
      <w:r w:rsidR="00131BBD">
        <w:rPr>
          <w:sz w:val="22"/>
          <w:szCs w:val="22"/>
        </w:rPr>
        <w:t xml:space="preserve">19 </w:t>
      </w:r>
      <w:r w:rsidR="001F378C">
        <w:rPr>
          <w:sz w:val="22"/>
          <w:szCs w:val="22"/>
        </w:rPr>
        <w:t>part-time</w:t>
      </w:r>
      <w:r w:rsidR="00D71613">
        <w:rPr>
          <w:sz w:val="22"/>
          <w:szCs w:val="22"/>
        </w:rPr>
        <w:t xml:space="preserve"> female staff</w:t>
      </w:r>
      <w:r w:rsidR="000F5C05">
        <w:rPr>
          <w:sz w:val="22"/>
          <w:szCs w:val="22"/>
        </w:rPr>
        <w:t xml:space="preserve">, </w:t>
      </w:r>
      <w:r w:rsidR="00CB095D">
        <w:rPr>
          <w:sz w:val="22"/>
          <w:szCs w:val="22"/>
        </w:rPr>
        <w:t>were</w:t>
      </w:r>
      <w:r w:rsidR="000F5C05">
        <w:rPr>
          <w:sz w:val="22"/>
          <w:szCs w:val="22"/>
        </w:rPr>
        <w:t xml:space="preserve"> higher than the mean and median hourly </w:t>
      </w:r>
      <w:r w:rsidR="002E23EE">
        <w:rPr>
          <w:sz w:val="22"/>
          <w:szCs w:val="22"/>
        </w:rPr>
        <w:t xml:space="preserve">pay </w:t>
      </w:r>
      <w:r w:rsidR="000F5C05">
        <w:rPr>
          <w:sz w:val="22"/>
          <w:szCs w:val="22"/>
        </w:rPr>
        <w:t xml:space="preserve">rates for all female staff </w:t>
      </w:r>
      <w:r w:rsidR="00D4390B">
        <w:rPr>
          <w:sz w:val="22"/>
          <w:szCs w:val="22"/>
        </w:rPr>
        <w:t>of</w:t>
      </w:r>
      <w:r w:rsidR="000F5C05">
        <w:rPr>
          <w:sz w:val="22"/>
          <w:szCs w:val="22"/>
        </w:rPr>
        <w:t xml:space="preserve"> </w:t>
      </w:r>
      <w:r w:rsidR="00D71613">
        <w:rPr>
          <w:sz w:val="22"/>
          <w:szCs w:val="22"/>
        </w:rPr>
        <w:t>€32.20</w:t>
      </w:r>
      <w:r w:rsidR="000F5C05">
        <w:rPr>
          <w:sz w:val="22"/>
          <w:szCs w:val="22"/>
        </w:rPr>
        <w:t xml:space="preserve"> and </w:t>
      </w:r>
      <w:r w:rsidR="0091581E">
        <w:rPr>
          <w:sz w:val="22"/>
          <w:szCs w:val="22"/>
        </w:rPr>
        <w:t xml:space="preserve">€31.60 respectively. </w:t>
      </w:r>
    </w:p>
    <w:p w14:paraId="67BF4625" w14:textId="77777777" w:rsidR="00131BBD" w:rsidRDefault="00131BBD" w:rsidP="00FD35B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578B3B9E" w14:textId="3280B7F3" w:rsidR="00131BBD" w:rsidRDefault="00131BBD" w:rsidP="00131BBD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mean hourly pay rate and median hourly pay rate for the </w:t>
      </w:r>
      <w:r w:rsidR="00C8058D">
        <w:rPr>
          <w:sz w:val="22"/>
          <w:szCs w:val="22"/>
        </w:rPr>
        <w:t>three</w:t>
      </w:r>
      <w:r w:rsidR="0001361D">
        <w:rPr>
          <w:sz w:val="22"/>
          <w:szCs w:val="22"/>
        </w:rPr>
        <w:t xml:space="preserve"> </w:t>
      </w:r>
      <w:r>
        <w:rPr>
          <w:sz w:val="22"/>
          <w:szCs w:val="22"/>
        </w:rPr>
        <w:t>part-time male staff of €</w:t>
      </w:r>
      <w:r w:rsidR="00A53A0F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="00A53A0F">
        <w:rPr>
          <w:sz w:val="22"/>
          <w:szCs w:val="22"/>
        </w:rPr>
        <w:t>4</w:t>
      </w:r>
      <w:r>
        <w:rPr>
          <w:sz w:val="22"/>
          <w:szCs w:val="22"/>
        </w:rPr>
        <w:t xml:space="preserve">0, were </w:t>
      </w:r>
      <w:r w:rsidR="00A53A0F">
        <w:rPr>
          <w:sz w:val="22"/>
          <w:szCs w:val="22"/>
        </w:rPr>
        <w:t>considerably lower</w:t>
      </w:r>
      <w:r>
        <w:rPr>
          <w:sz w:val="22"/>
          <w:szCs w:val="22"/>
        </w:rPr>
        <w:t xml:space="preserve"> than the mean and median hourly rates for all male staff of </w:t>
      </w:r>
      <w:r w:rsidR="00A53A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>€</w:t>
      </w:r>
      <w:r w:rsidR="00A53A0F" w:rsidRPr="00F200F5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>31.5</w:t>
      </w:r>
      <w:r w:rsidR="00A53A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 xml:space="preserve">0 </w:t>
      </w:r>
      <w:r>
        <w:rPr>
          <w:sz w:val="22"/>
          <w:szCs w:val="22"/>
        </w:rPr>
        <w:t xml:space="preserve">and </w:t>
      </w:r>
      <w:r w:rsidR="00A53A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>€</w:t>
      </w:r>
      <w:r w:rsidR="00A53A0F" w:rsidRPr="00E25E9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>31.</w:t>
      </w:r>
      <w:r w:rsidR="00A53A0F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>80</w:t>
      </w:r>
      <w:r w:rsidR="00A53A0F" w:rsidRPr="00E25E9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IE"/>
          <w14:ligatures w14:val="none"/>
        </w:rPr>
        <w:t xml:space="preserve"> </w:t>
      </w:r>
      <w:r>
        <w:rPr>
          <w:sz w:val="22"/>
          <w:szCs w:val="22"/>
        </w:rPr>
        <w:t>respectively</w:t>
      </w:r>
      <w:r w:rsidR="001E6FA6">
        <w:rPr>
          <w:sz w:val="22"/>
          <w:szCs w:val="22"/>
        </w:rPr>
        <w:t xml:space="preserve">, </w:t>
      </w:r>
      <w:r w:rsidR="008C1000">
        <w:rPr>
          <w:sz w:val="22"/>
          <w:szCs w:val="22"/>
        </w:rPr>
        <w:t>reflecting</w:t>
      </w:r>
      <w:r w:rsidR="001E6FA6">
        <w:rPr>
          <w:sz w:val="22"/>
          <w:szCs w:val="22"/>
        </w:rPr>
        <w:t xml:space="preserve"> the fact that these</w:t>
      </w:r>
      <w:r w:rsidR="00C8058D">
        <w:rPr>
          <w:sz w:val="22"/>
          <w:szCs w:val="22"/>
        </w:rPr>
        <w:t xml:space="preserve"> three males </w:t>
      </w:r>
      <w:r w:rsidR="00362D82">
        <w:rPr>
          <w:sz w:val="22"/>
          <w:szCs w:val="22"/>
        </w:rPr>
        <w:t>we</w:t>
      </w:r>
      <w:r w:rsidR="00C8058D">
        <w:rPr>
          <w:sz w:val="22"/>
          <w:szCs w:val="22"/>
        </w:rPr>
        <w:t xml:space="preserve">re employed in lower paying jobs. </w:t>
      </w:r>
    </w:p>
    <w:p w14:paraId="39229AD8" w14:textId="3198D633" w:rsidR="00FD35BC" w:rsidRDefault="00964E9C" w:rsidP="00FD35B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556458" w14:textId="604339CD" w:rsidR="00FD35BC" w:rsidRPr="00D5247D" w:rsidRDefault="00B02C76" w:rsidP="003702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color w:val="0070C0"/>
        </w:rPr>
      </w:pPr>
      <w:r w:rsidRPr="00D5247D">
        <w:rPr>
          <w:b/>
          <w:bCs/>
          <w:color w:val="0070C0"/>
        </w:rPr>
        <w:t xml:space="preserve">Temporary </w:t>
      </w:r>
      <w:r w:rsidR="00224597">
        <w:rPr>
          <w:b/>
          <w:bCs/>
          <w:color w:val="0070C0"/>
        </w:rPr>
        <w:t>Employees</w:t>
      </w:r>
    </w:p>
    <w:p w14:paraId="480B073C" w14:textId="0E9A8041" w:rsidR="00E217A4" w:rsidRDefault="00504704" w:rsidP="00D14F94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Of the staff reported on in 2025, </w:t>
      </w:r>
      <w:r w:rsidR="00800302">
        <w:rPr>
          <w:rFonts w:cstheme="minorHAnsi"/>
          <w:sz w:val="22"/>
          <w:szCs w:val="22"/>
        </w:rPr>
        <w:t>247 (</w:t>
      </w:r>
      <w:r w:rsidR="008120C9">
        <w:rPr>
          <w:rFonts w:cstheme="minorHAnsi"/>
          <w:sz w:val="22"/>
          <w:szCs w:val="22"/>
        </w:rPr>
        <w:t>48%</w:t>
      </w:r>
      <w:r w:rsidR="00883F0A">
        <w:rPr>
          <w:rFonts w:cstheme="minorHAnsi"/>
          <w:sz w:val="22"/>
          <w:szCs w:val="22"/>
        </w:rPr>
        <w:t xml:space="preserve">) of the </w:t>
      </w:r>
      <w:r w:rsidR="00AE7EAA">
        <w:rPr>
          <w:rFonts w:cstheme="minorHAnsi"/>
          <w:sz w:val="22"/>
          <w:szCs w:val="22"/>
        </w:rPr>
        <w:t xml:space="preserve">total </w:t>
      </w:r>
      <w:r w:rsidR="00883F0A">
        <w:rPr>
          <w:rFonts w:cstheme="minorHAnsi"/>
          <w:sz w:val="22"/>
          <w:szCs w:val="22"/>
        </w:rPr>
        <w:t xml:space="preserve">512 </w:t>
      </w:r>
      <w:r w:rsidR="00AE7EAA">
        <w:rPr>
          <w:rFonts w:cstheme="minorHAnsi"/>
          <w:sz w:val="22"/>
          <w:szCs w:val="22"/>
        </w:rPr>
        <w:t>were employed on temporary contracts</w:t>
      </w:r>
      <w:r w:rsidR="00332017">
        <w:rPr>
          <w:rFonts w:cstheme="minorHAnsi"/>
          <w:sz w:val="22"/>
          <w:szCs w:val="22"/>
        </w:rPr>
        <w:t xml:space="preserve"> such as fixed term or specific</w:t>
      </w:r>
      <w:r w:rsidR="001E1AC8">
        <w:rPr>
          <w:rFonts w:cstheme="minorHAnsi"/>
          <w:sz w:val="22"/>
          <w:szCs w:val="22"/>
        </w:rPr>
        <w:t xml:space="preserve"> purpose contracts</w:t>
      </w:r>
      <w:r w:rsidR="00AE7EAA">
        <w:rPr>
          <w:rFonts w:cstheme="minorHAnsi"/>
          <w:sz w:val="22"/>
          <w:szCs w:val="22"/>
        </w:rPr>
        <w:t>. This include</w:t>
      </w:r>
      <w:r w:rsidR="0085310F">
        <w:rPr>
          <w:rFonts w:cstheme="minorHAnsi"/>
          <w:sz w:val="22"/>
          <w:szCs w:val="22"/>
        </w:rPr>
        <w:t>d</w:t>
      </w:r>
      <w:r w:rsidR="00AE7EAA">
        <w:rPr>
          <w:rFonts w:cstheme="minorHAnsi"/>
          <w:sz w:val="22"/>
          <w:szCs w:val="22"/>
        </w:rPr>
        <w:t xml:space="preserve"> people employed </w:t>
      </w:r>
      <w:r w:rsidR="00414C5A">
        <w:rPr>
          <w:rFonts w:cstheme="minorHAnsi"/>
          <w:sz w:val="22"/>
          <w:szCs w:val="22"/>
        </w:rPr>
        <w:t xml:space="preserve">on international contracts, on project related contracts, and on leave cover. </w:t>
      </w:r>
    </w:p>
    <w:p w14:paraId="07CB1FF6" w14:textId="708D57E0" w:rsidR="00157446" w:rsidRPr="007A16E6" w:rsidRDefault="00157446" w:rsidP="0015744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7A16E6">
        <w:rPr>
          <w:sz w:val="22"/>
          <w:szCs w:val="22"/>
        </w:rPr>
        <w:t xml:space="preserve">Our gender profile for temporary staff was </w:t>
      </w:r>
      <w:r w:rsidR="003C73B5" w:rsidRPr="007A16E6">
        <w:rPr>
          <w:sz w:val="22"/>
          <w:szCs w:val="22"/>
        </w:rPr>
        <w:t>34</w:t>
      </w:r>
      <w:r w:rsidRPr="007A16E6">
        <w:rPr>
          <w:sz w:val="22"/>
          <w:szCs w:val="22"/>
        </w:rPr>
        <w:t>% female</w:t>
      </w:r>
      <w:r w:rsidR="003E63F6">
        <w:rPr>
          <w:sz w:val="22"/>
          <w:szCs w:val="22"/>
        </w:rPr>
        <w:t xml:space="preserve"> and </w:t>
      </w:r>
      <w:r w:rsidR="003C73B5" w:rsidRPr="007A16E6">
        <w:rPr>
          <w:sz w:val="22"/>
          <w:szCs w:val="22"/>
        </w:rPr>
        <w:t>66</w:t>
      </w:r>
      <w:r w:rsidRPr="007A16E6">
        <w:rPr>
          <w:sz w:val="22"/>
          <w:szCs w:val="22"/>
        </w:rPr>
        <w:t>% male (</w:t>
      </w:r>
      <w:r w:rsidR="003C73B5" w:rsidRPr="007A16E6">
        <w:rPr>
          <w:sz w:val="22"/>
          <w:szCs w:val="22"/>
        </w:rPr>
        <w:t>85</w:t>
      </w:r>
      <w:r w:rsidRPr="007A16E6">
        <w:rPr>
          <w:sz w:val="22"/>
          <w:szCs w:val="22"/>
        </w:rPr>
        <w:t xml:space="preserve"> women and 1</w:t>
      </w:r>
      <w:r w:rsidR="003C73B5" w:rsidRPr="007A16E6">
        <w:rPr>
          <w:sz w:val="22"/>
          <w:szCs w:val="22"/>
        </w:rPr>
        <w:t>62</w:t>
      </w:r>
      <w:r w:rsidRPr="007A16E6">
        <w:rPr>
          <w:sz w:val="22"/>
          <w:szCs w:val="22"/>
        </w:rPr>
        <w:t xml:space="preserve"> men)</w:t>
      </w:r>
      <w:r w:rsidR="001E1AC8">
        <w:rPr>
          <w:sz w:val="22"/>
          <w:szCs w:val="22"/>
        </w:rPr>
        <w:t>.</w:t>
      </w:r>
    </w:p>
    <w:p w14:paraId="1695D4E5" w14:textId="7971108D" w:rsidR="00157446" w:rsidRPr="00381853" w:rsidRDefault="00157446" w:rsidP="00823C1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7A16E6">
        <w:rPr>
          <w:sz w:val="22"/>
          <w:szCs w:val="22"/>
        </w:rPr>
        <w:t xml:space="preserve">The percentage gap in mean pay between temporary </w:t>
      </w:r>
      <w:r w:rsidR="00CA1475">
        <w:rPr>
          <w:sz w:val="22"/>
          <w:szCs w:val="22"/>
        </w:rPr>
        <w:t>fe</w:t>
      </w:r>
      <w:r w:rsidRPr="007A16E6">
        <w:rPr>
          <w:sz w:val="22"/>
          <w:szCs w:val="22"/>
        </w:rPr>
        <w:t xml:space="preserve">male and </w:t>
      </w:r>
      <w:r w:rsidR="006D2957">
        <w:rPr>
          <w:sz w:val="22"/>
          <w:szCs w:val="22"/>
        </w:rPr>
        <w:t xml:space="preserve">temporary </w:t>
      </w:r>
      <w:r w:rsidRPr="007A16E6">
        <w:rPr>
          <w:sz w:val="22"/>
          <w:szCs w:val="22"/>
        </w:rPr>
        <w:t xml:space="preserve">male employees </w:t>
      </w:r>
      <w:r w:rsidR="00CA1475">
        <w:rPr>
          <w:sz w:val="22"/>
          <w:szCs w:val="22"/>
        </w:rPr>
        <w:t>wa</w:t>
      </w:r>
      <w:r w:rsidRPr="007A16E6">
        <w:rPr>
          <w:sz w:val="22"/>
          <w:szCs w:val="22"/>
        </w:rPr>
        <w:t xml:space="preserve">s </w:t>
      </w:r>
      <w:r w:rsidR="005623CD">
        <w:rPr>
          <w:sz w:val="22"/>
          <w:szCs w:val="22"/>
        </w:rPr>
        <w:t>5</w:t>
      </w:r>
      <w:r w:rsidRPr="007A16E6">
        <w:rPr>
          <w:sz w:val="22"/>
          <w:szCs w:val="22"/>
        </w:rPr>
        <w:t>% in favour of male employees</w:t>
      </w:r>
      <w:r w:rsidR="00B95510">
        <w:rPr>
          <w:sz w:val="22"/>
          <w:szCs w:val="22"/>
        </w:rPr>
        <w:t xml:space="preserve">, </w:t>
      </w:r>
      <w:r w:rsidR="00B95510" w:rsidRPr="00E3662E">
        <w:rPr>
          <w:sz w:val="22"/>
          <w:szCs w:val="22"/>
        </w:rPr>
        <w:t>with a mean hourly rate for females of €3</w:t>
      </w:r>
      <w:r w:rsidR="00B95510">
        <w:rPr>
          <w:sz w:val="22"/>
          <w:szCs w:val="22"/>
        </w:rPr>
        <w:t>0</w:t>
      </w:r>
      <w:r w:rsidR="00B95510" w:rsidRPr="00E3662E">
        <w:rPr>
          <w:sz w:val="22"/>
          <w:szCs w:val="22"/>
        </w:rPr>
        <w:t>.</w:t>
      </w:r>
      <w:r w:rsidR="00B95510">
        <w:rPr>
          <w:sz w:val="22"/>
          <w:szCs w:val="22"/>
        </w:rPr>
        <w:t>8</w:t>
      </w:r>
      <w:r w:rsidR="00B95510" w:rsidRPr="00E3662E">
        <w:rPr>
          <w:sz w:val="22"/>
          <w:szCs w:val="22"/>
        </w:rPr>
        <w:t>0 and for males €</w:t>
      </w:r>
      <w:r w:rsidR="00381853">
        <w:rPr>
          <w:sz w:val="22"/>
          <w:szCs w:val="22"/>
        </w:rPr>
        <w:t>32</w:t>
      </w:r>
      <w:r w:rsidR="00B95510" w:rsidRPr="00E3662E">
        <w:rPr>
          <w:sz w:val="22"/>
          <w:szCs w:val="22"/>
        </w:rPr>
        <w:t xml:space="preserve">.40. </w:t>
      </w:r>
    </w:p>
    <w:p w14:paraId="0D151555" w14:textId="739303B1" w:rsidR="00157446" w:rsidRPr="00823C13" w:rsidRDefault="00157446" w:rsidP="0015744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823C13">
        <w:rPr>
          <w:sz w:val="22"/>
          <w:szCs w:val="22"/>
        </w:rPr>
        <w:t xml:space="preserve">The percentage gap in median pay between </w:t>
      </w:r>
      <w:r w:rsidR="007361C3" w:rsidRPr="00823C13">
        <w:rPr>
          <w:sz w:val="22"/>
          <w:szCs w:val="22"/>
        </w:rPr>
        <w:t>temporary</w:t>
      </w:r>
      <w:r w:rsidRPr="00823C13">
        <w:rPr>
          <w:sz w:val="22"/>
          <w:szCs w:val="22"/>
        </w:rPr>
        <w:t xml:space="preserve"> </w:t>
      </w:r>
      <w:r w:rsidR="006D2957">
        <w:rPr>
          <w:sz w:val="22"/>
          <w:szCs w:val="22"/>
        </w:rPr>
        <w:t>fe</w:t>
      </w:r>
      <w:r w:rsidRPr="00823C13">
        <w:rPr>
          <w:sz w:val="22"/>
          <w:szCs w:val="22"/>
        </w:rPr>
        <w:t xml:space="preserve">male and </w:t>
      </w:r>
      <w:r w:rsidR="006D2957">
        <w:rPr>
          <w:sz w:val="22"/>
          <w:szCs w:val="22"/>
        </w:rPr>
        <w:t xml:space="preserve">temporary </w:t>
      </w:r>
      <w:r w:rsidRPr="00823C13">
        <w:rPr>
          <w:sz w:val="22"/>
          <w:szCs w:val="22"/>
        </w:rPr>
        <w:t xml:space="preserve">male employees </w:t>
      </w:r>
      <w:r w:rsidR="00494761">
        <w:rPr>
          <w:sz w:val="22"/>
          <w:szCs w:val="22"/>
        </w:rPr>
        <w:t>wa</w:t>
      </w:r>
      <w:r w:rsidRPr="00823C13">
        <w:rPr>
          <w:sz w:val="22"/>
          <w:szCs w:val="22"/>
        </w:rPr>
        <w:t xml:space="preserve">s </w:t>
      </w:r>
      <w:r w:rsidR="00494761">
        <w:rPr>
          <w:sz w:val="22"/>
          <w:szCs w:val="22"/>
        </w:rPr>
        <w:t>1</w:t>
      </w:r>
      <w:r w:rsidRPr="00823C13">
        <w:rPr>
          <w:sz w:val="22"/>
          <w:szCs w:val="22"/>
        </w:rPr>
        <w:t>.</w:t>
      </w:r>
      <w:r w:rsidR="00494761">
        <w:rPr>
          <w:sz w:val="22"/>
          <w:szCs w:val="22"/>
        </w:rPr>
        <w:t>5</w:t>
      </w:r>
      <w:r w:rsidRPr="00823C13">
        <w:rPr>
          <w:sz w:val="22"/>
          <w:szCs w:val="22"/>
        </w:rPr>
        <w:t xml:space="preserve">% in favour of </w:t>
      </w:r>
      <w:r w:rsidR="00494761">
        <w:rPr>
          <w:sz w:val="22"/>
          <w:szCs w:val="22"/>
        </w:rPr>
        <w:t>fe</w:t>
      </w:r>
      <w:r w:rsidRPr="00823C13">
        <w:rPr>
          <w:sz w:val="22"/>
          <w:szCs w:val="22"/>
        </w:rPr>
        <w:t>male employees</w:t>
      </w:r>
      <w:r w:rsidR="006345D5">
        <w:rPr>
          <w:sz w:val="22"/>
          <w:szCs w:val="22"/>
        </w:rPr>
        <w:t xml:space="preserve">, with a median hourly rate for females of </w:t>
      </w:r>
      <w:r w:rsidR="001F5B17">
        <w:rPr>
          <w:sz w:val="22"/>
          <w:szCs w:val="22"/>
        </w:rPr>
        <w:t>€32.70 and for males of €32.20.</w:t>
      </w:r>
    </w:p>
    <w:p w14:paraId="2C9EAC1E" w14:textId="77777777" w:rsidR="00320C9D" w:rsidRDefault="00320C9D" w:rsidP="00D14F94">
      <w:pPr>
        <w:spacing w:after="0"/>
        <w:rPr>
          <w:rFonts w:cstheme="minorHAnsi"/>
          <w:sz w:val="22"/>
          <w:szCs w:val="22"/>
        </w:rPr>
      </w:pPr>
    </w:p>
    <w:p w14:paraId="667C9A77" w14:textId="7709A73B" w:rsidR="001446F5" w:rsidRDefault="001446F5" w:rsidP="001446F5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mean hourly pay rate of </w:t>
      </w:r>
      <w:r w:rsidR="002C1AF0" w:rsidRPr="00E3662E">
        <w:rPr>
          <w:sz w:val="22"/>
          <w:szCs w:val="22"/>
        </w:rPr>
        <w:t>€3</w:t>
      </w:r>
      <w:r w:rsidR="002C1AF0">
        <w:rPr>
          <w:sz w:val="22"/>
          <w:szCs w:val="22"/>
        </w:rPr>
        <w:t>0</w:t>
      </w:r>
      <w:r w:rsidR="002C1AF0" w:rsidRPr="00E3662E">
        <w:rPr>
          <w:sz w:val="22"/>
          <w:szCs w:val="22"/>
        </w:rPr>
        <w:t>.</w:t>
      </w:r>
      <w:r w:rsidR="002C1AF0">
        <w:rPr>
          <w:sz w:val="22"/>
          <w:szCs w:val="22"/>
        </w:rPr>
        <w:t>8</w:t>
      </w:r>
      <w:r w:rsidR="002C1AF0" w:rsidRPr="00E3662E">
        <w:rPr>
          <w:sz w:val="22"/>
          <w:szCs w:val="22"/>
        </w:rPr>
        <w:t>0</w:t>
      </w:r>
      <w:r w:rsidR="002C1AF0">
        <w:rPr>
          <w:sz w:val="22"/>
          <w:szCs w:val="22"/>
        </w:rPr>
        <w:t xml:space="preserve"> for the 85 temporary female staff</w:t>
      </w:r>
      <w:r w:rsidR="008034F4">
        <w:rPr>
          <w:sz w:val="22"/>
          <w:szCs w:val="22"/>
        </w:rPr>
        <w:t xml:space="preserve"> was lower than the mean hourly pay rate </w:t>
      </w:r>
      <w:r>
        <w:rPr>
          <w:sz w:val="22"/>
          <w:szCs w:val="22"/>
        </w:rPr>
        <w:t>for all female staff of €32.20</w:t>
      </w:r>
      <w:r w:rsidR="001613A4">
        <w:rPr>
          <w:sz w:val="22"/>
          <w:szCs w:val="22"/>
        </w:rPr>
        <w:t>; whilst the median for temporary female staff, at €32.70</w:t>
      </w:r>
      <w:r w:rsidR="00402620">
        <w:rPr>
          <w:sz w:val="22"/>
          <w:szCs w:val="22"/>
        </w:rPr>
        <w:t>,</w:t>
      </w:r>
      <w:r w:rsidR="001613A4">
        <w:rPr>
          <w:sz w:val="22"/>
          <w:szCs w:val="22"/>
        </w:rPr>
        <w:t xml:space="preserve"> </w:t>
      </w:r>
      <w:r w:rsidR="00313B58">
        <w:rPr>
          <w:sz w:val="22"/>
          <w:szCs w:val="22"/>
        </w:rPr>
        <w:t>was higher than the median hourly pay rate of</w:t>
      </w:r>
      <w:r>
        <w:rPr>
          <w:sz w:val="22"/>
          <w:szCs w:val="22"/>
        </w:rPr>
        <w:t xml:space="preserve"> €31.60 </w:t>
      </w:r>
      <w:r w:rsidR="00313B58">
        <w:rPr>
          <w:sz w:val="22"/>
          <w:szCs w:val="22"/>
        </w:rPr>
        <w:t>for all female staff</w:t>
      </w:r>
      <w:r>
        <w:rPr>
          <w:sz w:val="22"/>
          <w:szCs w:val="22"/>
        </w:rPr>
        <w:t xml:space="preserve">. </w:t>
      </w:r>
    </w:p>
    <w:p w14:paraId="03599C62" w14:textId="77777777" w:rsidR="00320C9D" w:rsidRDefault="00320C9D" w:rsidP="00D14F94">
      <w:pPr>
        <w:spacing w:after="0"/>
        <w:rPr>
          <w:rFonts w:cstheme="minorHAnsi"/>
          <w:sz w:val="22"/>
          <w:szCs w:val="22"/>
        </w:rPr>
      </w:pPr>
    </w:p>
    <w:p w14:paraId="457F6281" w14:textId="0C49A3CE" w:rsidR="001B2A96" w:rsidRDefault="001B2A96" w:rsidP="001B2A96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mean hourly pay rate of </w:t>
      </w:r>
      <w:r w:rsidR="009170F7" w:rsidRPr="00E3662E">
        <w:rPr>
          <w:sz w:val="22"/>
          <w:szCs w:val="22"/>
        </w:rPr>
        <w:t>€</w:t>
      </w:r>
      <w:r w:rsidR="009170F7">
        <w:rPr>
          <w:sz w:val="22"/>
          <w:szCs w:val="22"/>
        </w:rPr>
        <w:t>32</w:t>
      </w:r>
      <w:r w:rsidR="009170F7" w:rsidRPr="00E3662E">
        <w:rPr>
          <w:sz w:val="22"/>
          <w:szCs w:val="22"/>
        </w:rPr>
        <w:t>.40</w:t>
      </w:r>
      <w:r w:rsidR="009170F7">
        <w:rPr>
          <w:sz w:val="22"/>
          <w:szCs w:val="22"/>
        </w:rPr>
        <w:t xml:space="preserve"> </w:t>
      </w:r>
      <w:r>
        <w:rPr>
          <w:sz w:val="22"/>
          <w:szCs w:val="22"/>
        </w:rPr>
        <w:t>for the 162 temporary male staff was</w:t>
      </w:r>
      <w:r w:rsidR="00E0287A">
        <w:rPr>
          <w:sz w:val="22"/>
          <w:szCs w:val="22"/>
        </w:rPr>
        <w:t xml:space="preserve"> higher</w:t>
      </w:r>
      <w:r>
        <w:rPr>
          <w:sz w:val="22"/>
          <w:szCs w:val="22"/>
        </w:rPr>
        <w:t xml:space="preserve"> than the mean hourly pay rate of for all male staff of €</w:t>
      </w:r>
      <w:r w:rsidR="0050490B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095744">
        <w:rPr>
          <w:sz w:val="22"/>
          <w:szCs w:val="22"/>
        </w:rPr>
        <w:t>5</w:t>
      </w:r>
      <w:r>
        <w:rPr>
          <w:sz w:val="22"/>
          <w:szCs w:val="22"/>
        </w:rPr>
        <w:t>0; whilst the median for temporary male staff, at €32.</w:t>
      </w:r>
      <w:r w:rsidR="00B4249F">
        <w:rPr>
          <w:sz w:val="22"/>
          <w:szCs w:val="22"/>
        </w:rPr>
        <w:t>2</w:t>
      </w:r>
      <w:r>
        <w:rPr>
          <w:sz w:val="22"/>
          <w:szCs w:val="22"/>
        </w:rPr>
        <w:t>0, was higher than the median hourly pay rate of €31.</w:t>
      </w:r>
      <w:r w:rsidR="00B4249F">
        <w:rPr>
          <w:sz w:val="22"/>
          <w:szCs w:val="22"/>
        </w:rPr>
        <w:t>8</w:t>
      </w:r>
      <w:r>
        <w:rPr>
          <w:sz w:val="22"/>
          <w:szCs w:val="22"/>
        </w:rPr>
        <w:t xml:space="preserve">0 for all male staff. </w:t>
      </w:r>
    </w:p>
    <w:p w14:paraId="321F71E0" w14:textId="77777777" w:rsidR="00402620" w:rsidRDefault="00402620" w:rsidP="00D14F94">
      <w:pPr>
        <w:spacing w:after="0"/>
        <w:rPr>
          <w:rFonts w:cstheme="minorHAnsi"/>
          <w:sz w:val="22"/>
          <w:szCs w:val="22"/>
        </w:rPr>
      </w:pPr>
    </w:p>
    <w:p w14:paraId="0DF7495C" w14:textId="3502386F" w:rsidR="00B41061" w:rsidRPr="00224597" w:rsidRDefault="00B41061" w:rsidP="00B41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color w:val="0070C0"/>
        </w:rPr>
      </w:pPr>
      <w:r w:rsidRPr="00224597">
        <w:rPr>
          <w:b/>
          <w:bCs/>
          <w:color w:val="0070C0"/>
        </w:rPr>
        <w:t>Bonus Renumeration</w:t>
      </w:r>
    </w:p>
    <w:p w14:paraId="6E4D4E1C" w14:textId="74971F5D" w:rsidR="003F1990" w:rsidRDefault="003F1990" w:rsidP="00413A27">
      <w:pPr>
        <w:pStyle w:val="FootnoteText"/>
        <w:rPr>
          <w:sz w:val="22"/>
          <w:szCs w:val="22"/>
        </w:rPr>
      </w:pPr>
      <w:r w:rsidRPr="003F1990">
        <w:rPr>
          <w:sz w:val="22"/>
          <w:szCs w:val="22"/>
        </w:rPr>
        <w:t xml:space="preserve">Concern operates a performance related pay structure for its Telemarketing </w:t>
      </w:r>
      <w:r>
        <w:rPr>
          <w:sz w:val="22"/>
          <w:szCs w:val="22"/>
        </w:rPr>
        <w:t>T</w:t>
      </w:r>
      <w:r w:rsidRPr="003F1990">
        <w:rPr>
          <w:sz w:val="22"/>
          <w:szCs w:val="22"/>
        </w:rPr>
        <w:t xml:space="preserve">eam </w:t>
      </w:r>
      <w:r w:rsidR="00C034D8">
        <w:rPr>
          <w:sz w:val="22"/>
          <w:szCs w:val="22"/>
        </w:rPr>
        <w:t>and Street and Door to Door</w:t>
      </w:r>
      <w:r w:rsidR="00413A27">
        <w:rPr>
          <w:sz w:val="22"/>
          <w:szCs w:val="22"/>
        </w:rPr>
        <w:t xml:space="preserve"> Fundraising Team. A</w:t>
      </w:r>
      <w:r w:rsidRPr="003F1990">
        <w:rPr>
          <w:sz w:val="22"/>
          <w:szCs w:val="22"/>
        </w:rPr>
        <w:t xml:space="preserve">ll Telemarketers </w:t>
      </w:r>
      <w:r w:rsidR="00413A27">
        <w:rPr>
          <w:sz w:val="22"/>
          <w:szCs w:val="22"/>
        </w:rPr>
        <w:t xml:space="preserve">and Street and Door to Door fundraisers </w:t>
      </w:r>
      <w:r w:rsidRPr="003F1990">
        <w:rPr>
          <w:sz w:val="22"/>
          <w:szCs w:val="22"/>
        </w:rPr>
        <w:t xml:space="preserve">receive a basic salary which can be increased each month if certain performance targets are met. </w:t>
      </w:r>
    </w:p>
    <w:p w14:paraId="30BDC88F" w14:textId="77777777" w:rsidR="00413A27" w:rsidRDefault="00413A27" w:rsidP="00413A27">
      <w:pPr>
        <w:pStyle w:val="FootnoteText"/>
        <w:rPr>
          <w:color w:val="FF0000"/>
          <w:sz w:val="22"/>
          <w:szCs w:val="22"/>
        </w:rPr>
      </w:pPr>
    </w:p>
    <w:p w14:paraId="586B2B7F" w14:textId="77777777" w:rsidR="00413A27" w:rsidRDefault="00B362BC" w:rsidP="00B362BC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413A27">
        <w:rPr>
          <w:sz w:val="22"/>
          <w:szCs w:val="22"/>
        </w:rPr>
        <w:t xml:space="preserve">During the 2025 analysis period </w:t>
      </w:r>
      <w:r w:rsidR="003F1990" w:rsidRPr="00413A27">
        <w:rPr>
          <w:sz w:val="22"/>
          <w:szCs w:val="22"/>
        </w:rPr>
        <w:t>35</w:t>
      </w:r>
      <w:r w:rsidR="00413A27">
        <w:rPr>
          <w:sz w:val="22"/>
          <w:szCs w:val="22"/>
        </w:rPr>
        <w:t xml:space="preserve"> such</w:t>
      </w:r>
      <w:r w:rsidRPr="00413A27">
        <w:rPr>
          <w:sz w:val="22"/>
          <w:szCs w:val="22"/>
        </w:rPr>
        <w:t xml:space="preserve"> employees received </w:t>
      </w:r>
      <w:r w:rsidRPr="00413A27">
        <w:rPr>
          <w:bCs/>
          <w:sz w:val="22"/>
          <w:szCs w:val="22"/>
        </w:rPr>
        <w:t>performance related pay</w:t>
      </w:r>
      <w:r w:rsidRPr="00413A27">
        <w:rPr>
          <w:sz w:val="22"/>
          <w:szCs w:val="22"/>
        </w:rPr>
        <w:t xml:space="preserve"> as a top-up to their salary. </w:t>
      </w:r>
    </w:p>
    <w:p w14:paraId="5E342051" w14:textId="5D91D5E0" w:rsidR="00B362BC" w:rsidRDefault="00B362BC" w:rsidP="00CB53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CB53C4">
        <w:rPr>
          <w:sz w:val="22"/>
          <w:szCs w:val="22"/>
        </w:rPr>
        <w:lastRenderedPageBreak/>
        <w:t xml:space="preserve">Out of the </w:t>
      </w:r>
      <w:r w:rsidR="00413A27" w:rsidRPr="00CB53C4">
        <w:rPr>
          <w:sz w:val="22"/>
          <w:szCs w:val="22"/>
        </w:rPr>
        <w:t>35</w:t>
      </w:r>
      <w:r w:rsidRPr="00CB53C4">
        <w:rPr>
          <w:sz w:val="22"/>
          <w:szCs w:val="22"/>
        </w:rPr>
        <w:t xml:space="preserve"> employees, 1</w:t>
      </w:r>
      <w:r w:rsidR="00314ECB">
        <w:rPr>
          <w:sz w:val="22"/>
          <w:szCs w:val="22"/>
        </w:rPr>
        <w:t xml:space="preserve">3 </w:t>
      </w:r>
      <w:r w:rsidR="00036832">
        <w:rPr>
          <w:sz w:val="22"/>
          <w:szCs w:val="22"/>
        </w:rPr>
        <w:t xml:space="preserve">(37%) </w:t>
      </w:r>
      <w:r w:rsidRPr="00CB53C4">
        <w:rPr>
          <w:sz w:val="22"/>
          <w:szCs w:val="22"/>
        </w:rPr>
        <w:t xml:space="preserve">were female and </w:t>
      </w:r>
      <w:r w:rsidR="00D944FF">
        <w:rPr>
          <w:sz w:val="22"/>
          <w:szCs w:val="22"/>
        </w:rPr>
        <w:t>22</w:t>
      </w:r>
      <w:r w:rsidR="00036832">
        <w:rPr>
          <w:sz w:val="22"/>
          <w:szCs w:val="22"/>
        </w:rPr>
        <w:t xml:space="preserve"> (63%)</w:t>
      </w:r>
      <w:r w:rsidRPr="00CB53C4">
        <w:rPr>
          <w:sz w:val="22"/>
          <w:szCs w:val="22"/>
        </w:rPr>
        <w:t xml:space="preserve"> were male.</w:t>
      </w:r>
    </w:p>
    <w:p w14:paraId="334F88ED" w14:textId="0194EBE2" w:rsidR="00231E79" w:rsidRDefault="00231E79" w:rsidP="00CB53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mean bonus renumeration </w:t>
      </w:r>
      <w:r w:rsidR="006B2D55">
        <w:rPr>
          <w:sz w:val="22"/>
          <w:szCs w:val="22"/>
        </w:rPr>
        <w:t xml:space="preserve">was €485 for females and €1,090 for males, representing a </w:t>
      </w:r>
      <w:r w:rsidR="006A1C51">
        <w:rPr>
          <w:sz w:val="22"/>
          <w:szCs w:val="22"/>
        </w:rPr>
        <w:t xml:space="preserve">55% gap in favour of male staff. </w:t>
      </w:r>
    </w:p>
    <w:p w14:paraId="582671A0" w14:textId="4929FDEA" w:rsidR="004B4313" w:rsidRPr="00B00714" w:rsidRDefault="00B00714" w:rsidP="00B0071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The median bonus renumeration was €</w:t>
      </w:r>
      <w:r w:rsidR="00A66BEB">
        <w:rPr>
          <w:sz w:val="22"/>
          <w:szCs w:val="22"/>
        </w:rPr>
        <w:t>27</w:t>
      </w:r>
      <w:r>
        <w:rPr>
          <w:sz w:val="22"/>
          <w:szCs w:val="22"/>
        </w:rPr>
        <w:t>5 for females and €</w:t>
      </w:r>
      <w:r w:rsidR="00A66BEB">
        <w:rPr>
          <w:sz w:val="22"/>
          <w:szCs w:val="22"/>
        </w:rPr>
        <w:t>433</w:t>
      </w:r>
      <w:r>
        <w:rPr>
          <w:sz w:val="22"/>
          <w:szCs w:val="22"/>
        </w:rPr>
        <w:t xml:space="preserve"> for males, representing a </w:t>
      </w:r>
      <w:r w:rsidR="00A82C12">
        <w:rPr>
          <w:sz w:val="22"/>
          <w:szCs w:val="22"/>
        </w:rPr>
        <w:t>36.4</w:t>
      </w:r>
      <w:r>
        <w:rPr>
          <w:sz w:val="22"/>
          <w:szCs w:val="22"/>
        </w:rPr>
        <w:t xml:space="preserve">% gap in favour of male staff. </w:t>
      </w:r>
    </w:p>
    <w:p w14:paraId="5F564390" w14:textId="77777777" w:rsidR="004B4313" w:rsidRPr="00224597" w:rsidRDefault="004B4313" w:rsidP="004B4313">
      <w:pPr>
        <w:autoSpaceDE w:val="0"/>
        <w:autoSpaceDN w:val="0"/>
        <w:adjustRightInd w:val="0"/>
        <w:spacing w:after="0" w:line="240" w:lineRule="auto"/>
        <w:rPr>
          <w:b/>
          <w:bCs/>
          <w:color w:val="0070C0"/>
        </w:rPr>
      </w:pPr>
    </w:p>
    <w:p w14:paraId="45D32F75" w14:textId="5E156CD3" w:rsidR="0004441A" w:rsidRPr="00224597" w:rsidRDefault="004B4313" w:rsidP="00B41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color w:val="0070C0"/>
        </w:rPr>
      </w:pPr>
      <w:r w:rsidRPr="00224597">
        <w:rPr>
          <w:b/>
          <w:bCs/>
          <w:color w:val="0070C0"/>
        </w:rPr>
        <w:t>Benefit in Kind</w:t>
      </w:r>
    </w:p>
    <w:p w14:paraId="75991766" w14:textId="3453D264" w:rsidR="0004441A" w:rsidRPr="004B4313" w:rsidRDefault="0004441A" w:rsidP="0004441A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4B4313">
        <w:rPr>
          <w:sz w:val="22"/>
          <w:szCs w:val="22"/>
        </w:rPr>
        <w:t>No benefit in kind was paid to any employee</w:t>
      </w:r>
      <w:r w:rsidR="004B4313">
        <w:rPr>
          <w:sz w:val="22"/>
          <w:szCs w:val="22"/>
        </w:rPr>
        <w:t xml:space="preserve"> during the reporting period.</w:t>
      </w:r>
    </w:p>
    <w:p w14:paraId="395E3FED" w14:textId="77777777" w:rsidR="004B4313" w:rsidRDefault="004B4313" w:rsidP="004B4313">
      <w:pPr>
        <w:pStyle w:val="ListParagraph"/>
        <w:autoSpaceDE w:val="0"/>
        <w:autoSpaceDN w:val="0"/>
        <w:adjustRightInd w:val="0"/>
        <w:spacing w:after="0" w:line="240" w:lineRule="auto"/>
        <w:rPr>
          <w:b/>
          <w:bCs/>
          <w:color w:val="0070C0"/>
          <w:sz w:val="22"/>
          <w:szCs w:val="22"/>
        </w:rPr>
      </w:pPr>
    </w:p>
    <w:p w14:paraId="2137D2A7" w14:textId="24D48140" w:rsidR="0004441A" w:rsidRDefault="00144785" w:rsidP="00B4106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color w:val="0070C0"/>
          <w:sz w:val="22"/>
          <w:szCs w:val="22"/>
        </w:rPr>
      </w:pPr>
      <w:r>
        <w:rPr>
          <w:b/>
          <w:bCs/>
          <w:color w:val="0070C0"/>
          <w:sz w:val="22"/>
          <w:szCs w:val="22"/>
        </w:rPr>
        <w:t>Conclusion</w:t>
      </w:r>
    </w:p>
    <w:p w14:paraId="1646D8D4" w14:textId="00798AF2" w:rsidR="00BF46E3" w:rsidRDefault="00201E20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Our gender profile of</w:t>
      </w:r>
      <w:r w:rsidR="00B147B6">
        <w:rPr>
          <w:sz w:val="22"/>
          <w:szCs w:val="22"/>
        </w:rPr>
        <w:t xml:space="preserve"> </w:t>
      </w:r>
      <w:r w:rsidR="00B36D02">
        <w:rPr>
          <w:sz w:val="22"/>
          <w:szCs w:val="22"/>
        </w:rPr>
        <w:t xml:space="preserve">the 512 </w:t>
      </w:r>
      <w:r w:rsidR="00B147B6">
        <w:rPr>
          <w:sz w:val="22"/>
          <w:szCs w:val="22"/>
        </w:rPr>
        <w:t>staff</w:t>
      </w:r>
      <w:r>
        <w:rPr>
          <w:sz w:val="22"/>
          <w:szCs w:val="22"/>
        </w:rPr>
        <w:t xml:space="preserve"> employed under the auspices of </w:t>
      </w:r>
      <w:r w:rsidR="00327900">
        <w:rPr>
          <w:sz w:val="22"/>
          <w:szCs w:val="22"/>
        </w:rPr>
        <w:t>Concern Republic of Ireland in the 12 months to 28</w:t>
      </w:r>
      <w:r w:rsidR="00327900" w:rsidRPr="00327900">
        <w:rPr>
          <w:sz w:val="22"/>
          <w:szCs w:val="22"/>
          <w:vertAlign w:val="superscript"/>
        </w:rPr>
        <w:t>th</w:t>
      </w:r>
      <w:r w:rsidR="00327900">
        <w:rPr>
          <w:sz w:val="22"/>
          <w:szCs w:val="22"/>
        </w:rPr>
        <w:t xml:space="preserve"> June </w:t>
      </w:r>
      <w:r w:rsidR="007E70CD">
        <w:rPr>
          <w:sz w:val="22"/>
          <w:szCs w:val="22"/>
        </w:rPr>
        <w:t>2025</w:t>
      </w:r>
      <w:r w:rsidR="00327900">
        <w:rPr>
          <w:sz w:val="22"/>
          <w:szCs w:val="22"/>
        </w:rPr>
        <w:t xml:space="preserve">, </w:t>
      </w:r>
      <w:r w:rsidR="00B36D02">
        <w:rPr>
          <w:sz w:val="22"/>
          <w:szCs w:val="22"/>
        </w:rPr>
        <w:t xml:space="preserve">shows that </w:t>
      </w:r>
      <w:r w:rsidR="00B147B6">
        <w:rPr>
          <w:sz w:val="22"/>
          <w:szCs w:val="22"/>
        </w:rPr>
        <w:t>45% were female</w:t>
      </w:r>
      <w:r w:rsidR="00B36D02">
        <w:rPr>
          <w:sz w:val="22"/>
          <w:szCs w:val="22"/>
        </w:rPr>
        <w:t xml:space="preserve">; </w:t>
      </w:r>
      <w:r w:rsidR="006F162C">
        <w:rPr>
          <w:sz w:val="22"/>
          <w:szCs w:val="22"/>
        </w:rPr>
        <w:t xml:space="preserve">19 were </w:t>
      </w:r>
      <w:r w:rsidR="00811DD3">
        <w:rPr>
          <w:sz w:val="22"/>
          <w:szCs w:val="22"/>
        </w:rPr>
        <w:t>part-time (84%</w:t>
      </w:r>
      <w:r w:rsidR="00CD518B">
        <w:rPr>
          <w:sz w:val="22"/>
          <w:szCs w:val="22"/>
        </w:rPr>
        <w:t xml:space="preserve"> of whom</w:t>
      </w:r>
      <w:r w:rsidR="00811DD3">
        <w:rPr>
          <w:sz w:val="22"/>
          <w:szCs w:val="22"/>
        </w:rPr>
        <w:t xml:space="preserve"> were female</w:t>
      </w:r>
      <w:r w:rsidR="00CD518B">
        <w:rPr>
          <w:sz w:val="22"/>
          <w:szCs w:val="22"/>
        </w:rPr>
        <w:t>)</w:t>
      </w:r>
      <w:r w:rsidR="00811DD3">
        <w:rPr>
          <w:sz w:val="22"/>
          <w:szCs w:val="22"/>
        </w:rPr>
        <w:t xml:space="preserve"> and 247 were on temporary contracts (</w:t>
      </w:r>
      <w:r w:rsidR="001C73CE">
        <w:rPr>
          <w:sz w:val="22"/>
          <w:szCs w:val="22"/>
        </w:rPr>
        <w:t>34% of whom were</w:t>
      </w:r>
      <w:r w:rsidR="00BF46E3">
        <w:rPr>
          <w:sz w:val="22"/>
          <w:szCs w:val="22"/>
        </w:rPr>
        <w:t xml:space="preserve"> female</w:t>
      </w:r>
      <w:r w:rsidR="0003548F">
        <w:rPr>
          <w:sz w:val="22"/>
          <w:szCs w:val="22"/>
        </w:rPr>
        <w:t>)</w:t>
      </w:r>
      <w:r w:rsidR="00BF46E3">
        <w:rPr>
          <w:sz w:val="22"/>
          <w:szCs w:val="22"/>
        </w:rPr>
        <w:t>.</w:t>
      </w:r>
      <w:r w:rsidR="0079017A">
        <w:rPr>
          <w:sz w:val="22"/>
          <w:szCs w:val="22"/>
        </w:rPr>
        <w:t xml:space="preserve"> </w:t>
      </w:r>
      <w:r w:rsidR="005910A7">
        <w:rPr>
          <w:sz w:val="22"/>
          <w:szCs w:val="22"/>
        </w:rPr>
        <w:t>Notably, t</w:t>
      </w:r>
      <w:r w:rsidR="0079017A">
        <w:rPr>
          <w:sz w:val="22"/>
          <w:szCs w:val="22"/>
        </w:rPr>
        <w:t xml:space="preserve">here has been a reduction in the percentage of female staff employed </w:t>
      </w:r>
      <w:r w:rsidR="00880890">
        <w:rPr>
          <w:sz w:val="22"/>
          <w:szCs w:val="22"/>
        </w:rPr>
        <w:t xml:space="preserve">by 5% since 2023. </w:t>
      </w:r>
    </w:p>
    <w:p w14:paraId="0B4DD3FC" w14:textId="77777777" w:rsidR="00BF46E3" w:rsidRDefault="00BF46E3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5F4CE0AB" w14:textId="3885D662" w:rsidR="00B41061" w:rsidRDefault="00831DF3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As regards </w:t>
      </w:r>
      <w:r w:rsidR="00E86F42">
        <w:rPr>
          <w:sz w:val="22"/>
          <w:szCs w:val="22"/>
        </w:rPr>
        <w:t xml:space="preserve">levels of </w:t>
      </w:r>
      <w:r>
        <w:rPr>
          <w:sz w:val="22"/>
          <w:szCs w:val="22"/>
        </w:rPr>
        <w:t>pay</w:t>
      </w:r>
      <w:r w:rsidR="00880890">
        <w:rPr>
          <w:sz w:val="22"/>
          <w:szCs w:val="22"/>
        </w:rPr>
        <w:t xml:space="preserve"> in </w:t>
      </w:r>
      <w:r w:rsidR="00DF6973">
        <w:rPr>
          <w:sz w:val="22"/>
          <w:szCs w:val="22"/>
        </w:rPr>
        <w:t>2025</w:t>
      </w:r>
      <w:r>
        <w:rPr>
          <w:sz w:val="22"/>
          <w:szCs w:val="22"/>
        </w:rPr>
        <w:t xml:space="preserve">, </w:t>
      </w:r>
      <w:r w:rsidR="000F7A80">
        <w:rPr>
          <w:sz w:val="22"/>
          <w:szCs w:val="22"/>
        </w:rPr>
        <w:t xml:space="preserve">45% of the employees in </w:t>
      </w:r>
      <w:r w:rsidR="000416FF">
        <w:rPr>
          <w:sz w:val="22"/>
          <w:szCs w:val="22"/>
        </w:rPr>
        <w:t xml:space="preserve">the </w:t>
      </w:r>
      <w:r w:rsidR="00552B93">
        <w:rPr>
          <w:sz w:val="22"/>
          <w:szCs w:val="22"/>
        </w:rPr>
        <w:t xml:space="preserve">two lower </w:t>
      </w:r>
      <w:r w:rsidR="007E76F3">
        <w:rPr>
          <w:sz w:val="22"/>
          <w:szCs w:val="22"/>
        </w:rPr>
        <w:t>pay quartiles</w:t>
      </w:r>
      <w:r w:rsidR="0069142A">
        <w:rPr>
          <w:sz w:val="22"/>
          <w:szCs w:val="22"/>
        </w:rPr>
        <w:t xml:space="preserve"> combined</w:t>
      </w:r>
      <w:r w:rsidR="007E76F3">
        <w:rPr>
          <w:sz w:val="22"/>
          <w:szCs w:val="22"/>
        </w:rPr>
        <w:t xml:space="preserve"> were female</w:t>
      </w:r>
      <w:r w:rsidR="000416FF">
        <w:rPr>
          <w:sz w:val="22"/>
          <w:szCs w:val="22"/>
        </w:rPr>
        <w:t>,</w:t>
      </w:r>
      <w:r w:rsidR="007E76F3">
        <w:rPr>
          <w:sz w:val="22"/>
          <w:szCs w:val="22"/>
        </w:rPr>
        <w:t xml:space="preserve"> </w:t>
      </w:r>
      <w:r w:rsidR="0069142A">
        <w:rPr>
          <w:sz w:val="22"/>
          <w:szCs w:val="22"/>
        </w:rPr>
        <w:t xml:space="preserve">as </w:t>
      </w:r>
      <w:r w:rsidR="00A32E65">
        <w:rPr>
          <w:sz w:val="22"/>
          <w:szCs w:val="22"/>
        </w:rPr>
        <w:t>were 45</w:t>
      </w:r>
      <w:r w:rsidR="0069142A">
        <w:rPr>
          <w:sz w:val="22"/>
          <w:szCs w:val="22"/>
        </w:rPr>
        <w:t>% of the employees in the two higher pay quartiles combined</w:t>
      </w:r>
      <w:r w:rsidR="00542B98">
        <w:rPr>
          <w:sz w:val="22"/>
          <w:szCs w:val="22"/>
        </w:rPr>
        <w:t>. This shows</w:t>
      </w:r>
      <w:r w:rsidR="00A32E65">
        <w:rPr>
          <w:sz w:val="22"/>
          <w:szCs w:val="22"/>
        </w:rPr>
        <w:t xml:space="preserve"> </w:t>
      </w:r>
      <w:proofErr w:type="gramStart"/>
      <w:r w:rsidR="00A32E65">
        <w:rPr>
          <w:sz w:val="22"/>
          <w:szCs w:val="22"/>
        </w:rPr>
        <w:t xml:space="preserve">a </w:t>
      </w:r>
      <w:r w:rsidR="008D6E61">
        <w:rPr>
          <w:sz w:val="22"/>
          <w:szCs w:val="22"/>
        </w:rPr>
        <w:t>fairly even</w:t>
      </w:r>
      <w:proofErr w:type="gramEnd"/>
      <w:r w:rsidR="008D6E61">
        <w:rPr>
          <w:sz w:val="22"/>
          <w:szCs w:val="22"/>
        </w:rPr>
        <w:t xml:space="preserve"> representation</w:t>
      </w:r>
      <w:r w:rsidR="00EE4C47">
        <w:rPr>
          <w:sz w:val="22"/>
          <w:szCs w:val="22"/>
        </w:rPr>
        <w:t xml:space="preserve"> of female staff</w:t>
      </w:r>
      <w:r w:rsidR="008D6E61">
        <w:rPr>
          <w:sz w:val="22"/>
          <w:szCs w:val="22"/>
        </w:rPr>
        <w:t xml:space="preserve"> across the </w:t>
      </w:r>
      <w:r w:rsidR="000416FF">
        <w:rPr>
          <w:sz w:val="22"/>
          <w:szCs w:val="22"/>
        </w:rPr>
        <w:t xml:space="preserve">pay </w:t>
      </w:r>
      <w:r w:rsidR="008D6E61">
        <w:rPr>
          <w:sz w:val="22"/>
          <w:szCs w:val="22"/>
        </w:rPr>
        <w:t xml:space="preserve">quartiles. </w:t>
      </w:r>
    </w:p>
    <w:p w14:paraId="185DAB41" w14:textId="77777777" w:rsidR="00A67115" w:rsidRDefault="00A67115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5B638A26" w14:textId="05B23B1E" w:rsidR="0002758B" w:rsidRDefault="00A67115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Whilst the pay gap remains marginal for all staff, we have seen</w:t>
      </w:r>
      <w:r w:rsidR="0074069D">
        <w:rPr>
          <w:sz w:val="22"/>
          <w:szCs w:val="22"/>
        </w:rPr>
        <w:t xml:space="preserve"> </w:t>
      </w:r>
      <w:r w:rsidR="00635F4B">
        <w:rPr>
          <w:sz w:val="22"/>
          <w:szCs w:val="22"/>
        </w:rPr>
        <w:t>improvements</w:t>
      </w:r>
      <w:r w:rsidR="007D26F4">
        <w:rPr>
          <w:sz w:val="22"/>
          <w:szCs w:val="22"/>
        </w:rPr>
        <w:t xml:space="preserve"> </w:t>
      </w:r>
      <w:r w:rsidR="00635F4B">
        <w:rPr>
          <w:sz w:val="22"/>
          <w:szCs w:val="22"/>
        </w:rPr>
        <w:t xml:space="preserve">in the </w:t>
      </w:r>
      <w:r w:rsidR="00C87926">
        <w:rPr>
          <w:sz w:val="22"/>
          <w:szCs w:val="22"/>
        </w:rPr>
        <w:t xml:space="preserve">percentage </w:t>
      </w:r>
      <w:r w:rsidR="00635F4B">
        <w:rPr>
          <w:sz w:val="22"/>
          <w:szCs w:val="22"/>
        </w:rPr>
        <w:t xml:space="preserve">gap </w:t>
      </w:r>
      <w:r w:rsidR="0074069D">
        <w:rPr>
          <w:sz w:val="22"/>
          <w:szCs w:val="22"/>
        </w:rPr>
        <w:t>in</w:t>
      </w:r>
      <w:r w:rsidR="001B3D5A">
        <w:rPr>
          <w:sz w:val="22"/>
          <w:szCs w:val="22"/>
        </w:rPr>
        <w:t xml:space="preserve"> the</w:t>
      </w:r>
      <w:r w:rsidR="0074069D">
        <w:rPr>
          <w:sz w:val="22"/>
          <w:szCs w:val="22"/>
        </w:rPr>
        <w:t xml:space="preserve"> </w:t>
      </w:r>
      <w:r w:rsidR="00635F4B">
        <w:rPr>
          <w:sz w:val="22"/>
          <w:szCs w:val="22"/>
        </w:rPr>
        <w:t xml:space="preserve">mean hourly pay rate for </w:t>
      </w:r>
      <w:r w:rsidR="004554DD">
        <w:rPr>
          <w:sz w:val="22"/>
          <w:szCs w:val="22"/>
        </w:rPr>
        <w:t>females</w:t>
      </w:r>
      <w:r w:rsidR="005A1B8E">
        <w:rPr>
          <w:sz w:val="22"/>
          <w:szCs w:val="22"/>
        </w:rPr>
        <w:t xml:space="preserve">, going from </w:t>
      </w:r>
      <w:r w:rsidR="00E75788">
        <w:rPr>
          <w:sz w:val="22"/>
          <w:szCs w:val="22"/>
        </w:rPr>
        <w:t xml:space="preserve">2.7% in favour of </w:t>
      </w:r>
      <w:r w:rsidR="004554DD">
        <w:rPr>
          <w:sz w:val="22"/>
          <w:szCs w:val="22"/>
        </w:rPr>
        <w:t xml:space="preserve">males in 2023 to 2.2% in favour of women in 2025. </w:t>
      </w:r>
      <w:r w:rsidR="001E6FA6">
        <w:rPr>
          <w:sz w:val="22"/>
          <w:szCs w:val="22"/>
        </w:rPr>
        <w:t xml:space="preserve">Similarly, </w:t>
      </w:r>
      <w:r w:rsidR="00AD14EE">
        <w:rPr>
          <w:sz w:val="22"/>
          <w:szCs w:val="22"/>
        </w:rPr>
        <w:t xml:space="preserve">the median rate for females has </w:t>
      </w:r>
      <w:r w:rsidR="003E167C">
        <w:rPr>
          <w:sz w:val="22"/>
          <w:szCs w:val="22"/>
        </w:rPr>
        <w:t xml:space="preserve">recovered from a </w:t>
      </w:r>
      <w:r w:rsidR="007422A1">
        <w:rPr>
          <w:sz w:val="22"/>
          <w:szCs w:val="22"/>
        </w:rPr>
        <w:t xml:space="preserve">2.7% gap in favour of males in 2024, </w:t>
      </w:r>
      <w:r w:rsidR="00C73BBB">
        <w:rPr>
          <w:sz w:val="22"/>
          <w:szCs w:val="22"/>
        </w:rPr>
        <w:t xml:space="preserve">back to the 2023 </w:t>
      </w:r>
      <w:r w:rsidR="007422A1">
        <w:rPr>
          <w:sz w:val="22"/>
          <w:szCs w:val="22"/>
        </w:rPr>
        <w:t>gap of 0.7% in favour of males.</w:t>
      </w:r>
    </w:p>
    <w:p w14:paraId="0BDF337E" w14:textId="77777777" w:rsidR="0031642B" w:rsidRDefault="0031642B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75C3C621" w14:textId="444F8219" w:rsidR="003D71EB" w:rsidRDefault="00123837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Going forward, it will be important </w:t>
      </w:r>
      <w:r w:rsidR="003316C8">
        <w:rPr>
          <w:sz w:val="22"/>
          <w:szCs w:val="22"/>
        </w:rPr>
        <w:t xml:space="preserve">for us to </w:t>
      </w:r>
      <w:r w:rsidR="00E86F42">
        <w:rPr>
          <w:sz w:val="22"/>
          <w:szCs w:val="22"/>
        </w:rPr>
        <w:t>remain</w:t>
      </w:r>
      <w:r w:rsidR="003316C8">
        <w:rPr>
          <w:sz w:val="22"/>
          <w:szCs w:val="22"/>
        </w:rPr>
        <w:t xml:space="preserve"> cognisant of the </w:t>
      </w:r>
      <w:r w:rsidR="0083171E">
        <w:rPr>
          <w:sz w:val="22"/>
          <w:szCs w:val="22"/>
        </w:rPr>
        <w:t>reduction in the percentage of female staff</w:t>
      </w:r>
      <w:r w:rsidR="00CE5681">
        <w:rPr>
          <w:sz w:val="22"/>
          <w:szCs w:val="22"/>
        </w:rPr>
        <w:t xml:space="preserve"> employed through Concern Republic of Ireland</w:t>
      </w:r>
      <w:r w:rsidR="009364A1">
        <w:rPr>
          <w:sz w:val="22"/>
          <w:szCs w:val="22"/>
        </w:rPr>
        <w:t xml:space="preserve"> </w:t>
      </w:r>
      <w:r w:rsidR="00900FEC">
        <w:rPr>
          <w:sz w:val="22"/>
          <w:szCs w:val="22"/>
        </w:rPr>
        <w:t>in the past three year</w:t>
      </w:r>
      <w:r w:rsidR="007E70CD">
        <w:rPr>
          <w:sz w:val="22"/>
          <w:szCs w:val="22"/>
        </w:rPr>
        <w:t>s.</w:t>
      </w:r>
      <w:r w:rsidR="00900FEC">
        <w:rPr>
          <w:sz w:val="22"/>
          <w:szCs w:val="22"/>
        </w:rPr>
        <w:t xml:space="preserve"> </w:t>
      </w:r>
      <w:r w:rsidR="003D71EB">
        <w:rPr>
          <w:sz w:val="22"/>
          <w:szCs w:val="22"/>
        </w:rPr>
        <w:t xml:space="preserve">In seeking to attract </w:t>
      </w:r>
      <w:r w:rsidR="00502818">
        <w:rPr>
          <w:sz w:val="22"/>
          <w:szCs w:val="22"/>
        </w:rPr>
        <w:t>women</w:t>
      </w:r>
      <w:r w:rsidR="003D71EB">
        <w:rPr>
          <w:sz w:val="22"/>
          <w:szCs w:val="22"/>
        </w:rPr>
        <w:t xml:space="preserve"> into Concern and </w:t>
      </w:r>
      <w:proofErr w:type="gramStart"/>
      <w:r w:rsidR="003D71EB">
        <w:rPr>
          <w:sz w:val="22"/>
          <w:szCs w:val="22"/>
        </w:rPr>
        <w:t>in order to</w:t>
      </w:r>
      <w:proofErr w:type="gramEnd"/>
      <w:r w:rsidR="003D71EB">
        <w:rPr>
          <w:sz w:val="22"/>
          <w:szCs w:val="22"/>
        </w:rPr>
        <w:t xml:space="preserve"> maintain our marginal gender pay gap, we will continue to:</w:t>
      </w:r>
    </w:p>
    <w:p w14:paraId="2C6EB539" w14:textId="402FDAA4" w:rsidR="005049BE" w:rsidRDefault="005049BE" w:rsidP="00CA601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Promote Concern as an organisation that values equality within our programmes and our offices.</w:t>
      </w:r>
    </w:p>
    <w:p w14:paraId="0C7C416A" w14:textId="77777777" w:rsidR="00A7170C" w:rsidRPr="00A7170C" w:rsidRDefault="005049BE" w:rsidP="00A7170C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Highlight our </w:t>
      </w:r>
      <w:r w:rsidR="00241DBF">
        <w:rPr>
          <w:sz w:val="22"/>
          <w:szCs w:val="22"/>
        </w:rPr>
        <w:t xml:space="preserve">working conditions – flexitime, </w:t>
      </w:r>
      <w:r w:rsidR="00502818">
        <w:rPr>
          <w:sz w:val="22"/>
          <w:szCs w:val="22"/>
        </w:rPr>
        <w:t xml:space="preserve">hybrid working, </w:t>
      </w:r>
      <w:r w:rsidR="00F132D3">
        <w:rPr>
          <w:sz w:val="22"/>
          <w:szCs w:val="22"/>
        </w:rPr>
        <w:t xml:space="preserve">part-time working, </w:t>
      </w:r>
      <w:r w:rsidR="004C1782">
        <w:rPr>
          <w:sz w:val="22"/>
          <w:szCs w:val="22"/>
        </w:rPr>
        <w:t xml:space="preserve">unpaid </w:t>
      </w:r>
      <w:r w:rsidR="004C1782" w:rsidRPr="00A7170C">
        <w:rPr>
          <w:sz w:val="22"/>
          <w:szCs w:val="22"/>
        </w:rPr>
        <w:t xml:space="preserve">leave, </w:t>
      </w:r>
      <w:r w:rsidR="001A709A" w:rsidRPr="00A7170C">
        <w:rPr>
          <w:sz w:val="22"/>
          <w:szCs w:val="22"/>
        </w:rPr>
        <w:t xml:space="preserve">and other terms and conditions. </w:t>
      </w:r>
    </w:p>
    <w:p w14:paraId="7D9B301D" w14:textId="77777777" w:rsidR="00EA5381" w:rsidRDefault="00A7170C" w:rsidP="00A7170C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7170C">
        <w:rPr>
          <w:sz w:val="22"/>
          <w:szCs w:val="22"/>
        </w:rPr>
        <w:t xml:space="preserve">Embed an equality lens at every stage in the recruitment process, from role design, to interview, to on-boarding. </w:t>
      </w:r>
    </w:p>
    <w:p w14:paraId="56A01518" w14:textId="659C282C" w:rsidR="00AE367A" w:rsidRPr="00AE367A" w:rsidRDefault="00AE367A" w:rsidP="00AE367A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E367A">
        <w:rPr>
          <w:sz w:val="22"/>
          <w:szCs w:val="22"/>
        </w:rPr>
        <w:t>Provide reasonable accommodation and specific supports to staff members who require these.</w:t>
      </w:r>
    </w:p>
    <w:p w14:paraId="4591C8AA" w14:textId="4007D07E" w:rsidR="00EA5381" w:rsidRPr="00D53C59" w:rsidRDefault="00EA5381" w:rsidP="00EA5381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 w:rsidRPr="00AE367A">
        <w:rPr>
          <w:sz w:val="22"/>
          <w:szCs w:val="22"/>
        </w:rPr>
        <w:t xml:space="preserve">Provide leadership development programmes and development opportunities for staff, </w:t>
      </w:r>
      <w:r w:rsidRPr="000035BA">
        <w:rPr>
          <w:sz w:val="22"/>
          <w:szCs w:val="22"/>
        </w:rPr>
        <w:t xml:space="preserve">with </w:t>
      </w:r>
      <w:r w:rsidRPr="00D53C59">
        <w:rPr>
          <w:sz w:val="22"/>
          <w:szCs w:val="22"/>
        </w:rPr>
        <w:t>a particular focus on female participation in these.</w:t>
      </w:r>
    </w:p>
    <w:p w14:paraId="2102C512" w14:textId="3B11CBF9" w:rsidR="000035BA" w:rsidRPr="00D53C59" w:rsidRDefault="00D53C59" w:rsidP="00D53C59">
      <w:pPr>
        <w:pStyle w:val="ListParagraph"/>
        <w:numPr>
          <w:ilvl w:val="0"/>
          <w:numId w:val="1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Equip</w:t>
      </w:r>
      <w:r w:rsidR="000035BA" w:rsidRPr="00D53C59">
        <w:rPr>
          <w:sz w:val="22"/>
          <w:szCs w:val="22"/>
        </w:rPr>
        <w:t xml:space="preserve"> our people managers to champion and role model our workplace equality, diversity and inclusion values. </w:t>
      </w:r>
    </w:p>
    <w:p w14:paraId="289D341D" w14:textId="77777777" w:rsidR="00AE367A" w:rsidRPr="000035BA" w:rsidRDefault="00AE367A" w:rsidP="000035BA">
      <w:pPr>
        <w:spacing w:after="0" w:line="240" w:lineRule="auto"/>
        <w:rPr>
          <w:sz w:val="22"/>
          <w:szCs w:val="22"/>
        </w:rPr>
      </w:pPr>
    </w:p>
    <w:p w14:paraId="682E0659" w14:textId="77777777" w:rsidR="0002758B" w:rsidRDefault="0002758B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277974FE" w14:textId="14B7BF2E" w:rsidR="00A67115" w:rsidRPr="00201E20" w:rsidRDefault="007422A1" w:rsidP="00B41061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B56DFE" w14:textId="77777777" w:rsidR="00CD5523" w:rsidRDefault="00CD5523" w:rsidP="00B41061">
      <w:pPr>
        <w:autoSpaceDE w:val="0"/>
        <w:autoSpaceDN w:val="0"/>
        <w:adjustRightInd w:val="0"/>
        <w:spacing w:after="0" w:line="240" w:lineRule="auto"/>
        <w:rPr>
          <w:color w:val="0070C0"/>
          <w:sz w:val="22"/>
          <w:szCs w:val="22"/>
        </w:rPr>
      </w:pPr>
    </w:p>
    <w:p w14:paraId="1F739BF7" w14:textId="322B20CF" w:rsidR="00CD5523" w:rsidRDefault="00CD5523" w:rsidP="00B41061">
      <w:pPr>
        <w:autoSpaceDE w:val="0"/>
        <w:autoSpaceDN w:val="0"/>
        <w:adjustRightInd w:val="0"/>
        <w:spacing w:after="0" w:line="240" w:lineRule="auto"/>
        <w:rPr>
          <w:color w:val="0070C0"/>
          <w:sz w:val="22"/>
          <w:szCs w:val="22"/>
        </w:rPr>
      </w:pPr>
    </w:p>
    <w:p w14:paraId="0DCCAD91" w14:textId="77777777" w:rsidR="00CD5523" w:rsidRDefault="00CD5523" w:rsidP="00B41061">
      <w:pPr>
        <w:autoSpaceDE w:val="0"/>
        <w:autoSpaceDN w:val="0"/>
        <w:adjustRightInd w:val="0"/>
        <w:spacing w:after="0" w:line="240" w:lineRule="auto"/>
        <w:rPr>
          <w:color w:val="0070C0"/>
          <w:sz w:val="22"/>
          <w:szCs w:val="22"/>
        </w:rPr>
      </w:pPr>
    </w:p>
    <w:sectPr w:rsidR="00CD5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A2AD" w14:textId="77777777" w:rsidR="00545D12" w:rsidRDefault="00545D12" w:rsidP="00005FDC">
      <w:pPr>
        <w:spacing w:after="0" w:line="240" w:lineRule="auto"/>
      </w:pPr>
      <w:r>
        <w:separator/>
      </w:r>
    </w:p>
  </w:endnote>
  <w:endnote w:type="continuationSeparator" w:id="0">
    <w:p w14:paraId="6F336E93" w14:textId="77777777" w:rsidR="00545D12" w:rsidRDefault="00545D12" w:rsidP="0000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6C2A" w14:textId="77777777" w:rsidR="00545D12" w:rsidRDefault="00545D12" w:rsidP="00005FDC">
      <w:pPr>
        <w:spacing w:after="0" w:line="240" w:lineRule="auto"/>
      </w:pPr>
      <w:r>
        <w:separator/>
      </w:r>
    </w:p>
  </w:footnote>
  <w:footnote w:type="continuationSeparator" w:id="0">
    <w:p w14:paraId="60592906" w14:textId="77777777" w:rsidR="00545D12" w:rsidRDefault="00545D12" w:rsidP="00005FDC">
      <w:pPr>
        <w:spacing w:after="0" w:line="240" w:lineRule="auto"/>
      </w:pPr>
      <w:r>
        <w:continuationSeparator/>
      </w:r>
    </w:p>
  </w:footnote>
  <w:footnote w:id="1">
    <w:p w14:paraId="688FE4DF" w14:textId="77777777" w:rsidR="00004F69" w:rsidRDefault="00004F69" w:rsidP="00004F69">
      <w:pPr>
        <w:pStyle w:val="FootnoteText"/>
      </w:pPr>
      <w:r>
        <w:rPr>
          <w:rStyle w:val="FootnoteReference"/>
        </w:rPr>
        <w:footnoteRef/>
      </w:r>
      <w:r>
        <w:t xml:space="preserve"> Ordinary pay includes normal salary, allowances, overtime, shift premiums, pay for sick leave, salary top-up for statutory leave, pay for gardening leave and pay for piecework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317F"/>
    <w:multiLevelType w:val="hybridMultilevel"/>
    <w:tmpl w:val="EFA8BAB8"/>
    <w:lvl w:ilvl="0" w:tplc="719E5E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47C69"/>
    <w:multiLevelType w:val="hybridMultilevel"/>
    <w:tmpl w:val="C1705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C70BB"/>
    <w:multiLevelType w:val="hybridMultilevel"/>
    <w:tmpl w:val="4B06B3C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3350"/>
    <w:multiLevelType w:val="hybridMultilevel"/>
    <w:tmpl w:val="0AE09C7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53AA5"/>
    <w:multiLevelType w:val="hybridMultilevel"/>
    <w:tmpl w:val="2CEA891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B81"/>
    <w:multiLevelType w:val="hybridMultilevel"/>
    <w:tmpl w:val="D25E177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5A9C"/>
    <w:multiLevelType w:val="hybridMultilevel"/>
    <w:tmpl w:val="C17059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D2458"/>
    <w:multiLevelType w:val="hybridMultilevel"/>
    <w:tmpl w:val="E348F7E4"/>
    <w:lvl w:ilvl="0" w:tplc="D0585A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70B9D"/>
    <w:multiLevelType w:val="hybridMultilevel"/>
    <w:tmpl w:val="F940A352"/>
    <w:lvl w:ilvl="0" w:tplc="F4A631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C3C"/>
    <w:multiLevelType w:val="hybridMultilevel"/>
    <w:tmpl w:val="CF4E8F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54B97"/>
    <w:multiLevelType w:val="hybridMultilevel"/>
    <w:tmpl w:val="134A4248"/>
    <w:lvl w:ilvl="0" w:tplc="23AA972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7372E9"/>
    <w:multiLevelType w:val="hybridMultilevel"/>
    <w:tmpl w:val="327C0F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F29DB"/>
    <w:multiLevelType w:val="hybridMultilevel"/>
    <w:tmpl w:val="B380BD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63C34"/>
    <w:multiLevelType w:val="hybridMultilevel"/>
    <w:tmpl w:val="35D47AC2"/>
    <w:lvl w:ilvl="0" w:tplc="07245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33D05"/>
    <w:multiLevelType w:val="hybridMultilevel"/>
    <w:tmpl w:val="775CA26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01347"/>
    <w:multiLevelType w:val="hybridMultilevel"/>
    <w:tmpl w:val="C69E300E"/>
    <w:lvl w:ilvl="0" w:tplc="8CECC6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C2018"/>
    <w:multiLevelType w:val="hybridMultilevel"/>
    <w:tmpl w:val="C87CD51E"/>
    <w:lvl w:ilvl="0" w:tplc="1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633054996">
    <w:abstractNumId w:val="6"/>
  </w:num>
  <w:num w:numId="2" w16cid:durableId="1063405568">
    <w:abstractNumId w:val="14"/>
  </w:num>
  <w:num w:numId="3" w16cid:durableId="603733650">
    <w:abstractNumId w:val="1"/>
  </w:num>
  <w:num w:numId="4" w16cid:durableId="169638541">
    <w:abstractNumId w:val="0"/>
  </w:num>
  <w:num w:numId="5" w16cid:durableId="1615481923">
    <w:abstractNumId w:val="7"/>
  </w:num>
  <w:num w:numId="6" w16cid:durableId="81265810">
    <w:abstractNumId w:val="8"/>
  </w:num>
  <w:num w:numId="7" w16cid:durableId="681130564">
    <w:abstractNumId w:val="13"/>
  </w:num>
  <w:num w:numId="8" w16cid:durableId="524903942">
    <w:abstractNumId w:val="15"/>
  </w:num>
  <w:num w:numId="9" w16cid:durableId="1836722971">
    <w:abstractNumId w:val="9"/>
  </w:num>
  <w:num w:numId="10" w16cid:durableId="1655336202">
    <w:abstractNumId w:val="12"/>
  </w:num>
  <w:num w:numId="11" w16cid:durableId="1291785560">
    <w:abstractNumId w:val="3"/>
  </w:num>
  <w:num w:numId="12" w16cid:durableId="265768862">
    <w:abstractNumId w:val="4"/>
  </w:num>
  <w:num w:numId="13" w16cid:durableId="437024939">
    <w:abstractNumId w:val="10"/>
  </w:num>
  <w:num w:numId="14" w16cid:durableId="1632978199">
    <w:abstractNumId w:val="5"/>
  </w:num>
  <w:num w:numId="15" w16cid:durableId="1973360607">
    <w:abstractNumId w:val="16"/>
  </w:num>
  <w:num w:numId="16" w16cid:durableId="1933850841">
    <w:abstractNumId w:val="2"/>
  </w:num>
  <w:num w:numId="17" w16cid:durableId="1229535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A2"/>
    <w:rsid w:val="000006B5"/>
    <w:rsid w:val="000035BA"/>
    <w:rsid w:val="000039AA"/>
    <w:rsid w:val="000040BF"/>
    <w:rsid w:val="00004DB8"/>
    <w:rsid w:val="00004F69"/>
    <w:rsid w:val="00005FDC"/>
    <w:rsid w:val="0001361D"/>
    <w:rsid w:val="00020B0C"/>
    <w:rsid w:val="000224D4"/>
    <w:rsid w:val="000239AE"/>
    <w:rsid w:val="0002758B"/>
    <w:rsid w:val="00034067"/>
    <w:rsid w:val="000349D3"/>
    <w:rsid w:val="0003548F"/>
    <w:rsid w:val="00036832"/>
    <w:rsid w:val="000416FF"/>
    <w:rsid w:val="0004441A"/>
    <w:rsid w:val="00057225"/>
    <w:rsid w:val="000653B6"/>
    <w:rsid w:val="000734B5"/>
    <w:rsid w:val="00076E52"/>
    <w:rsid w:val="000815C5"/>
    <w:rsid w:val="00095744"/>
    <w:rsid w:val="000A33D7"/>
    <w:rsid w:val="000A4B37"/>
    <w:rsid w:val="000A5BBA"/>
    <w:rsid w:val="000E53CA"/>
    <w:rsid w:val="000F5C05"/>
    <w:rsid w:val="000F7A80"/>
    <w:rsid w:val="00100940"/>
    <w:rsid w:val="00100CE4"/>
    <w:rsid w:val="00105762"/>
    <w:rsid w:val="00111B26"/>
    <w:rsid w:val="0011204A"/>
    <w:rsid w:val="00122358"/>
    <w:rsid w:val="00123837"/>
    <w:rsid w:val="00131BBD"/>
    <w:rsid w:val="001446F5"/>
    <w:rsid w:val="00144785"/>
    <w:rsid w:val="00155931"/>
    <w:rsid w:val="00155E63"/>
    <w:rsid w:val="00156239"/>
    <w:rsid w:val="00157446"/>
    <w:rsid w:val="001613A4"/>
    <w:rsid w:val="00165D42"/>
    <w:rsid w:val="001774B3"/>
    <w:rsid w:val="001854FA"/>
    <w:rsid w:val="00185E41"/>
    <w:rsid w:val="001872E1"/>
    <w:rsid w:val="0019484F"/>
    <w:rsid w:val="001960C1"/>
    <w:rsid w:val="001A1AE4"/>
    <w:rsid w:val="001A3E6F"/>
    <w:rsid w:val="001A6117"/>
    <w:rsid w:val="001A709A"/>
    <w:rsid w:val="001B29B0"/>
    <w:rsid w:val="001B2A96"/>
    <w:rsid w:val="001B3D5A"/>
    <w:rsid w:val="001C20F7"/>
    <w:rsid w:val="001C3FFC"/>
    <w:rsid w:val="001C50E5"/>
    <w:rsid w:val="001C7271"/>
    <w:rsid w:val="001C73CE"/>
    <w:rsid w:val="001C79E4"/>
    <w:rsid w:val="001D1B44"/>
    <w:rsid w:val="001E1AC8"/>
    <w:rsid w:val="001E6FA6"/>
    <w:rsid w:val="001F378C"/>
    <w:rsid w:val="001F5B17"/>
    <w:rsid w:val="00201E20"/>
    <w:rsid w:val="00202243"/>
    <w:rsid w:val="002071B9"/>
    <w:rsid w:val="002174F2"/>
    <w:rsid w:val="00224597"/>
    <w:rsid w:val="00231E79"/>
    <w:rsid w:val="00234E93"/>
    <w:rsid w:val="00241DBF"/>
    <w:rsid w:val="00252170"/>
    <w:rsid w:val="0025647E"/>
    <w:rsid w:val="002649A2"/>
    <w:rsid w:val="00275F17"/>
    <w:rsid w:val="0027635F"/>
    <w:rsid w:val="00283D57"/>
    <w:rsid w:val="00295282"/>
    <w:rsid w:val="002C1349"/>
    <w:rsid w:val="002C1AF0"/>
    <w:rsid w:val="002D6BD8"/>
    <w:rsid w:val="002E08AF"/>
    <w:rsid w:val="002E23EE"/>
    <w:rsid w:val="002E4124"/>
    <w:rsid w:val="002F108B"/>
    <w:rsid w:val="002F2965"/>
    <w:rsid w:val="003017F8"/>
    <w:rsid w:val="003049BA"/>
    <w:rsid w:val="003057E1"/>
    <w:rsid w:val="00306CC5"/>
    <w:rsid w:val="003072A7"/>
    <w:rsid w:val="00313B58"/>
    <w:rsid w:val="00314ECB"/>
    <w:rsid w:val="0031642B"/>
    <w:rsid w:val="00320C9D"/>
    <w:rsid w:val="003240B4"/>
    <w:rsid w:val="003246CC"/>
    <w:rsid w:val="00327900"/>
    <w:rsid w:val="003316C8"/>
    <w:rsid w:val="00332017"/>
    <w:rsid w:val="00334324"/>
    <w:rsid w:val="003360C8"/>
    <w:rsid w:val="0035557C"/>
    <w:rsid w:val="00362D82"/>
    <w:rsid w:val="00370244"/>
    <w:rsid w:val="0037092D"/>
    <w:rsid w:val="00376AA3"/>
    <w:rsid w:val="00381853"/>
    <w:rsid w:val="003A2AFA"/>
    <w:rsid w:val="003B5D4A"/>
    <w:rsid w:val="003C199F"/>
    <w:rsid w:val="003C73B5"/>
    <w:rsid w:val="003D1694"/>
    <w:rsid w:val="003D71EB"/>
    <w:rsid w:val="003E167C"/>
    <w:rsid w:val="003E2A77"/>
    <w:rsid w:val="003E2B3F"/>
    <w:rsid w:val="003E5EE3"/>
    <w:rsid w:val="003E63F6"/>
    <w:rsid w:val="003E78C3"/>
    <w:rsid w:val="003F1990"/>
    <w:rsid w:val="003F2BA6"/>
    <w:rsid w:val="003F6627"/>
    <w:rsid w:val="00402620"/>
    <w:rsid w:val="00402803"/>
    <w:rsid w:val="00405884"/>
    <w:rsid w:val="0041311E"/>
    <w:rsid w:val="00413756"/>
    <w:rsid w:val="00413A27"/>
    <w:rsid w:val="00414C5A"/>
    <w:rsid w:val="00415B27"/>
    <w:rsid w:val="00422A66"/>
    <w:rsid w:val="00434236"/>
    <w:rsid w:val="00437E72"/>
    <w:rsid w:val="004518CD"/>
    <w:rsid w:val="004554DD"/>
    <w:rsid w:val="00460C4E"/>
    <w:rsid w:val="00461E0B"/>
    <w:rsid w:val="0046398B"/>
    <w:rsid w:val="0046621E"/>
    <w:rsid w:val="0047235A"/>
    <w:rsid w:val="0047379F"/>
    <w:rsid w:val="00480F9A"/>
    <w:rsid w:val="004849F3"/>
    <w:rsid w:val="00494761"/>
    <w:rsid w:val="004A207B"/>
    <w:rsid w:val="004B05F1"/>
    <w:rsid w:val="004B4313"/>
    <w:rsid w:val="004C0DE5"/>
    <w:rsid w:val="004C1782"/>
    <w:rsid w:val="004D27DB"/>
    <w:rsid w:val="004D40DE"/>
    <w:rsid w:val="004D521D"/>
    <w:rsid w:val="00502818"/>
    <w:rsid w:val="00504092"/>
    <w:rsid w:val="00504704"/>
    <w:rsid w:val="0050490B"/>
    <w:rsid w:val="005049BE"/>
    <w:rsid w:val="00504A24"/>
    <w:rsid w:val="00510D6F"/>
    <w:rsid w:val="00511FB1"/>
    <w:rsid w:val="00525E28"/>
    <w:rsid w:val="00542B98"/>
    <w:rsid w:val="00545D12"/>
    <w:rsid w:val="00552B93"/>
    <w:rsid w:val="005574B1"/>
    <w:rsid w:val="005623CD"/>
    <w:rsid w:val="005910A7"/>
    <w:rsid w:val="0059428C"/>
    <w:rsid w:val="00596F7D"/>
    <w:rsid w:val="005A1B8E"/>
    <w:rsid w:val="005A54E6"/>
    <w:rsid w:val="005C403A"/>
    <w:rsid w:val="005C56AF"/>
    <w:rsid w:val="005C7C63"/>
    <w:rsid w:val="005D607B"/>
    <w:rsid w:val="005E23FE"/>
    <w:rsid w:val="00617CB6"/>
    <w:rsid w:val="006258DC"/>
    <w:rsid w:val="00630FEB"/>
    <w:rsid w:val="00632BD3"/>
    <w:rsid w:val="00633606"/>
    <w:rsid w:val="006345D5"/>
    <w:rsid w:val="00635F4B"/>
    <w:rsid w:val="00654AFF"/>
    <w:rsid w:val="00657BA0"/>
    <w:rsid w:val="00672F44"/>
    <w:rsid w:val="00673A1D"/>
    <w:rsid w:val="00675537"/>
    <w:rsid w:val="0069142A"/>
    <w:rsid w:val="006A1C51"/>
    <w:rsid w:val="006A4244"/>
    <w:rsid w:val="006A5F20"/>
    <w:rsid w:val="006A61D2"/>
    <w:rsid w:val="006B2D55"/>
    <w:rsid w:val="006B759A"/>
    <w:rsid w:val="006C07C0"/>
    <w:rsid w:val="006D05AB"/>
    <w:rsid w:val="006D2957"/>
    <w:rsid w:val="006D7720"/>
    <w:rsid w:val="006F162C"/>
    <w:rsid w:val="007146C2"/>
    <w:rsid w:val="007361C3"/>
    <w:rsid w:val="0074069D"/>
    <w:rsid w:val="0074121B"/>
    <w:rsid w:val="007422A1"/>
    <w:rsid w:val="00753E83"/>
    <w:rsid w:val="0078324E"/>
    <w:rsid w:val="0079017A"/>
    <w:rsid w:val="00791760"/>
    <w:rsid w:val="007A16E6"/>
    <w:rsid w:val="007B1A5A"/>
    <w:rsid w:val="007B2563"/>
    <w:rsid w:val="007B7A77"/>
    <w:rsid w:val="007C04B5"/>
    <w:rsid w:val="007D26F4"/>
    <w:rsid w:val="007D60A9"/>
    <w:rsid w:val="007E2ACA"/>
    <w:rsid w:val="007E332E"/>
    <w:rsid w:val="007E70CD"/>
    <w:rsid w:val="007E76F3"/>
    <w:rsid w:val="007F66D0"/>
    <w:rsid w:val="00800302"/>
    <w:rsid w:val="0080279E"/>
    <w:rsid w:val="0080344A"/>
    <w:rsid w:val="008034F4"/>
    <w:rsid w:val="00807B7C"/>
    <w:rsid w:val="00810A95"/>
    <w:rsid w:val="00811DD3"/>
    <w:rsid w:val="008120C9"/>
    <w:rsid w:val="0082292A"/>
    <w:rsid w:val="00823C13"/>
    <w:rsid w:val="008247BB"/>
    <w:rsid w:val="0083171E"/>
    <w:rsid w:val="00831DF3"/>
    <w:rsid w:val="008460D0"/>
    <w:rsid w:val="00847BF2"/>
    <w:rsid w:val="008507C4"/>
    <w:rsid w:val="00850D7F"/>
    <w:rsid w:val="00851752"/>
    <w:rsid w:val="0085310F"/>
    <w:rsid w:val="00853873"/>
    <w:rsid w:val="00855C93"/>
    <w:rsid w:val="00860205"/>
    <w:rsid w:val="00862035"/>
    <w:rsid w:val="00877405"/>
    <w:rsid w:val="00880890"/>
    <w:rsid w:val="00880916"/>
    <w:rsid w:val="008832B2"/>
    <w:rsid w:val="00883F0A"/>
    <w:rsid w:val="00892C91"/>
    <w:rsid w:val="008A72CF"/>
    <w:rsid w:val="008B5414"/>
    <w:rsid w:val="008B62D3"/>
    <w:rsid w:val="008B749A"/>
    <w:rsid w:val="008C1000"/>
    <w:rsid w:val="008C2808"/>
    <w:rsid w:val="008D16CD"/>
    <w:rsid w:val="008D6E61"/>
    <w:rsid w:val="008E1C8C"/>
    <w:rsid w:val="008E7CE7"/>
    <w:rsid w:val="008F3AD8"/>
    <w:rsid w:val="00900FEC"/>
    <w:rsid w:val="009023F8"/>
    <w:rsid w:val="00902863"/>
    <w:rsid w:val="0090596C"/>
    <w:rsid w:val="00911903"/>
    <w:rsid w:val="0091581E"/>
    <w:rsid w:val="009169CE"/>
    <w:rsid w:val="009170F7"/>
    <w:rsid w:val="009244C5"/>
    <w:rsid w:val="009276FD"/>
    <w:rsid w:val="009329EE"/>
    <w:rsid w:val="009364A1"/>
    <w:rsid w:val="009402F9"/>
    <w:rsid w:val="00942267"/>
    <w:rsid w:val="00944D24"/>
    <w:rsid w:val="00946C6D"/>
    <w:rsid w:val="0094763F"/>
    <w:rsid w:val="00953297"/>
    <w:rsid w:val="009629A2"/>
    <w:rsid w:val="00964795"/>
    <w:rsid w:val="00964E9C"/>
    <w:rsid w:val="00984A9D"/>
    <w:rsid w:val="00993874"/>
    <w:rsid w:val="00994803"/>
    <w:rsid w:val="00996A91"/>
    <w:rsid w:val="009B51C3"/>
    <w:rsid w:val="009C5FA3"/>
    <w:rsid w:val="009C6491"/>
    <w:rsid w:val="009D6D1C"/>
    <w:rsid w:val="009D7EBB"/>
    <w:rsid w:val="009E5FE2"/>
    <w:rsid w:val="00A0516C"/>
    <w:rsid w:val="00A12A06"/>
    <w:rsid w:val="00A25140"/>
    <w:rsid w:val="00A32E65"/>
    <w:rsid w:val="00A4324E"/>
    <w:rsid w:val="00A529CF"/>
    <w:rsid w:val="00A52FF1"/>
    <w:rsid w:val="00A53A0F"/>
    <w:rsid w:val="00A66BEB"/>
    <w:rsid w:val="00A67115"/>
    <w:rsid w:val="00A7170C"/>
    <w:rsid w:val="00A7315C"/>
    <w:rsid w:val="00A7730E"/>
    <w:rsid w:val="00A77C34"/>
    <w:rsid w:val="00A81122"/>
    <w:rsid w:val="00A82C12"/>
    <w:rsid w:val="00A832CB"/>
    <w:rsid w:val="00A95CDA"/>
    <w:rsid w:val="00AA4746"/>
    <w:rsid w:val="00AB096C"/>
    <w:rsid w:val="00AB4660"/>
    <w:rsid w:val="00AB4E56"/>
    <w:rsid w:val="00AB7369"/>
    <w:rsid w:val="00AD14EE"/>
    <w:rsid w:val="00AD2CE8"/>
    <w:rsid w:val="00AE367A"/>
    <w:rsid w:val="00AE5100"/>
    <w:rsid w:val="00AE7EAA"/>
    <w:rsid w:val="00AF0B85"/>
    <w:rsid w:val="00B00714"/>
    <w:rsid w:val="00B02C76"/>
    <w:rsid w:val="00B147B6"/>
    <w:rsid w:val="00B20108"/>
    <w:rsid w:val="00B23D99"/>
    <w:rsid w:val="00B250DC"/>
    <w:rsid w:val="00B273D2"/>
    <w:rsid w:val="00B31A9C"/>
    <w:rsid w:val="00B362BC"/>
    <w:rsid w:val="00B36D02"/>
    <w:rsid w:val="00B41061"/>
    <w:rsid w:val="00B415F7"/>
    <w:rsid w:val="00B4249F"/>
    <w:rsid w:val="00B504B3"/>
    <w:rsid w:val="00B51FE1"/>
    <w:rsid w:val="00B72AC6"/>
    <w:rsid w:val="00B74065"/>
    <w:rsid w:val="00B755A1"/>
    <w:rsid w:val="00B8024F"/>
    <w:rsid w:val="00B83A1C"/>
    <w:rsid w:val="00B85E04"/>
    <w:rsid w:val="00B934C5"/>
    <w:rsid w:val="00B93789"/>
    <w:rsid w:val="00B95510"/>
    <w:rsid w:val="00BA019C"/>
    <w:rsid w:val="00BA7EA1"/>
    <w:rsid w:val="00BB57F3"/>
    <w:rsid w:val="00BE230E"/>
    <w:rsid w:val="00BF46E3"/>
    <w:rsid w:val="00BF68AF"/>
    <w:rsid w:val="00C034D8"/>
    <w:rsid w:val="00C04014"/>
    <w:rsid w:val="00C168BF"/>
    <w:rsid w:val="00C20420"/>
    <w:rsid w:val="00C2346A"/>
    <w:rsid w:val="00C3428C"/>
    <w:rsid w:val="00C40AA3"/>
    <w:rsid w:val="00C47190"/>
    <w:rsid w:val="00C57773"/>
    <w:rsid w:val="00C641B4"/>
    <w:rsid w:val="00C64D0F"/>
    <w:rsid w:val="00C65A34"/>
    <w:rsid w:val="00C73BBB"/>
    <w:rsid w:val="00C73F44"/>
    <w:rsid w:val="00C74E7C"/>
    <w:rsid w:val="00C8058D"/>
    <w:rsid w:val="00C83AE6"/>
    <w:rsid w:val="00C87926"/>
    <w:rsid w:val="00C9081E"/>
    <w:rsid w:val="00C97220"/>
    <w:rsid w:val="00CA1475"/>
    <w:rsid w:val="00CA601D"/>
    <w:rsid w:val="00CB095D"/>
    <w:rsid w:val="00CB0C99"/>
    <w:rsid w:val="00CB404E"/>
    <w:rsid w:val="00CB53C4"/>
    <w:rsid w:val="00CB72F0"/>
    <w:rsid w:val="00CC426B"/>
    <w:rsid w:val="00CC60C5"/>
    <w:rsid w:val="00CD3EDC"/>
    <w:rsid w:val="00CD4F3D"/>
    <w:rsid w:val="00CD518B"/>
    <w:rsid w:val="00CD5523"/>
    <w:rsid w:val="00CE5681"/>
    <w:rsid w:val="00CF4D7B"/>
    <w:rsid w:val="00D01D18"/>
    <w:rsid w:val="00D05891"/>
    <w:rsid w:val="00D10D11"/>
    <w:rsid w:val="00D13720"/>
    <w:rsid w:val="00D14F94"/>
    <w:rsid w:val="00D160F6"/>
    <w:rsid w:val="00D1626F"/>
    <w:rsid w:val="00D209AB"/>
    <w:rsid w:val="00D20E0B"/>
    <w:rsid w:val="00D219F8"/>
    <w:rsid w:val="00D27176"/>
    <w:rsid w:val="00D322B1"/>
    <w:rsid w:val="00D37FCF"/>
    <w:rsid w:val="00D41979"/>
    <w:rsid w:val="00D4390B"/>
    <w:rsid w:val="00D44A91"/>
    <w:rsid w:val="00D44CDA"/>
    <w:rsid w:val="00D509D8"/>
    <w:rsid w:val="00D5247D"/>
    <w:rsid w:val="00D53C59"/>
    <w:rsid w:val="00D5799F"/>
    <w:rsid w:val="00D71613"/>
    <w:rsid w:val="00D72FB4"/>
    <w:rsid w:val="00D83E1F"/>
    <w:rsid w:val="00D84C41"/>
    <w:rsid w:val="00D87792"/>
    <w:rsid w:val="00D90DD3"/>
    <w:rsid w:val="00D944FF"/>
    <w:rsid w:val="00D95F70"/>
    <w:rsid w:val="00DB0DD0"/>
    <w:rsid w:val="00DB2948"/>
    <w:rsid w:val="00DC09FE"/>
    <w:rsid w:val="00DC5157"/>
    <w:rsid w:val="00DC6C5D"/>
    <w:rsid w:val="00DF1C26"/>
    <w:rsid w:val="00DF6973"/>
    <w:rsid w:val="00E01E4C"/>
    <w:rsid w:val="00E0287A"/>
    <w:rsid w:val="00E055C2"/>
    <w:rsid w:val="00E15867"/>
    <w:rsid w:val="00E217A4"/>
    <w:rsid w:val="00E25E9B"/>
    <w:rsid w:val="00E3662E"/>
    <w:rsid w:val="00E60567"/>
    <w:rsid w:val="00E74C54"/>
    <w:rsid w:val="00E75788"/>
    <w:rsid w:val="00E76EA9"/>
    <w:rsid w:val="00E861C0"/>
    <w:rsid w:val="00E86F42"/>
    <w:rsid w:val="00E876AE"/>
    <w:rsid w:val="00E87CE8"/>
    <w:rsid w:val="00E87FB7"/>
    <w:rsid w:val="00EA4F2D"/>
    <w:rsid w:val="00EA5381"/>
    <w:rsid w:val="00EA6BFA"/>
    <w:rsid w:val="00EA7DE9"/>
    <w:rsid w:val="00EB0450"/>
    <w:rsid w:val="00EB2278"/>
    <w:rsid w:val="00EB5680"/>
    <w:rsid w:val="00EC0EA6"/>
    <w:rsid w:val="00EC7212"/>
    <w:rsid w:val="00ED06D8"/>
    <w:rsid w:val="00ED29D8"/>
    <w:rsid w:val="00ED6881"/>
    <w:rsid w:val="00ED76E3"/>
    <w:rsid w:val="00EE4C47"/>
    <w:rsid w:val="00EF22E2"/>
    <w:rsid w:val="00EF35BE"/>
    <w:rsid w:val="00EF5E4A"/>
    <w:rsid w:val="00EF7B96"/>
    <w:rsid w:val="00F012A3"/>
    <w:rsid w:val="00F06843"/>
    <w:rsid w:val="00F1136B"/>
    <w:rsid w:val="00F132D3"/>
    <w:rsid w:val="00F200F5"/>
    <w:rsid w:val="00F207AB"/>
    <w:rsid w:val="00F5339F"/>
    <w:rsid w:val="00F57199"/>
    <w:rsid w:val="00F675FA"/>
    <w:rsid w:val="00F72154"/>
    <w:rsid w:val="00F915E3"/>
    <w:rsid w:val="00FA695F"/>
    <w:rsid w:val="00FA7C73"/>
    <w:rsid w:val="00FB0715"/>
    <w:rsid w:val="00FC0689"/>
    <w:rsid w:val="00FD343B"/>
    <w:rsid w:val="00FD35B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418A"/>
  <w15:chartTrackingRefBased/>
  <w15:docId w15:val="{8D58F859-5049-40AD-B38F-AB6F1049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9A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005FD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FD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05F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05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5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5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8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5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F53AC-D89B-4E81-9382-B4A41BB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McFarlane</dc:creator>
  <cp:keywords/>
  <dc:description/>
  <cp:lastModifiedBy>Valerie McFarlane</cp:lastModifiedBy>
  <cp:revision>3</cp:revision>
  <dcterms:created xsi:type="dcterms:W3CDTF">2025-10-16T16:27:00Z</dcterms:created>
  <dcterms:modified xsi:type="dcterms:W3CDTF">2025-11-05T11:37:00Z</dcterms:modified>
</cp:coreProperties>
</file>